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3408C" w:rsidRDefault="00000000">
      <w:pPr>
        <w:spacing w:before="120" w:after="80"/>
        <w:jc w:val="center"/>
      </w:pPr>
      <w:r>
        <w:rPr>
          <w:b/>
          <w:sz w:val="44"/>
        </w:rPr>
        <w:t>Agente text-to-SQL en español sobre datos contables SUNAT</w:t>
      </w:r>
    </w:p>
    <w:p w:rsidR="0083408C" w:rsidRDefault="00000000">
      <w:pPr>
        <w:spacing w:after="160"/>
        <w:jc w:val="center"/>
      </w:pPr>
      <w:r>
        <w:rPr>
          <w:i/>
          <w:color w:val="404040"/>
          <w:sz w:val="24"/>
        </w:rPr>
        <w:t>Recuperación aumentada sobre los valores, el catálogo y el plan contable: diseño, evaluación y ablaciones</w:t>
      </w:r>
    </w:p>
    <w:p w:rsidR="0083408C" w:rsidRDefault="00000000">
      <w:pPr>
        <w:spacing w:after="20"/>
        <w:jc w:val="center"/>
      </w:pPr>
      <w:r>
        <w:rPr>
          <w:b/>
          <w:sz w:val="22"/>
        </w:rPr>
        <w:t>Omar Parihuana Travezaño  ·  Willy Miguel Herrera  ·  Wilber Torres Cristobal</w:t>
      </w:r>
    </w:p>
    <w:p w:rsidR="0083408C" w:rsidRDefault="00000000">
      <w:pPr>
        <w:spacing w:after="20"/>
        <w:jc w:val="center"/>
      </w:pPr>
      <w:r>
        <w:t>Curso de Procesamiento de Lenguaje Natural, Maestría</w:t>
      </w:r>
    </w:p>
    <w:p w:rsidR="0083408C" w:rsidRDefault="00000000">
      <w:pPr>
        <w:spacing w:after="20"/>
        <w:jc w:val="center"/>
      </w:pPr>
      <w:r>
        <w:t>15 de agosto de 2026</w:t>
      </w:r>
    </w:p>
    <w:p w:rsidR="0083408C" w:rsidRDefault="00000000">
      <w:pPr>
        <w:spacing w:before="80" w:after="160"/>
        <w:jc w:val="center"/>
      </w:pPr>
      <w:r>
        <w:rPr>
          <w:i/>
          <w:color w:val="606060"/>
          <w:sz w:val="17"/>
        </w:rPr>
        <w:t>Caso de estudio: INVERSIONES DE ACUICULTURA S.A. (RUC 20484309451) · SIRE Registro de Compras (declaración y propuesta) y de Ventas, PLE Libro Mayor 6.1, Libro Diario 5.1 y Plan Contable 5.3 · períodos 2023–2026</w:t>
      </w:r>
    </w:p>
    <w:p w:rsidR="0083408C" w:rsidRDefault="00000000">
      <w:pPr>
        <w:spacing w:after="80"/>
      </w:pPr>
      <w:r>
        <w:rPr>
          <w:b/>
          <w:i/>
          <w:sz w:val="18"/>
        </w:rPr>
        <w:t xml:space="preserve">Resumen — </w:t>
      </w:r>
      <w:r>
        <w:rPr>
          <w:i/>
          <w:sz w:val="18"/>
        </w:rPr>
        <w:t>Este trabajo construye y evalúa un agente que responde preguntas en español sobre los datos contables que una empresa pesquera peruana entrega a la SUNAT, generando SQL validado y ejecutándolo sobre una base analítica de doce tablas y 469.567 filas. La dificultad no está en el esquema sino en la distancia entre el lenguaje del usuario y el de los datos: los conceptos de gasto viven en un campo de texto libre de 26.921 glosas abreviadas y en 3.395 códigos de cuenta sin descripción. Se describen el pipeline de ingesta, la normalización de glosas específica del dominio, un diccionario del Plan Contable General Empresarial de 247 fichas contrastado contra el plan real de la empresa, y una recuperación híbrida léxico-vectorial sobre cuatro corpus. La evaluación usa execution accuracy sobre un conjunto propio de pares pregunta→SQL. Se reportan tres campañas: la ablación de los recuperadores, que refuta la hipótesis central del proyecto —recuperar el vocabulario de las glosas no mejora la precisión— y muestra dos fallos de validez del propio instrumento de medida; una auditoría de los golds y un refactor del esquema contable, que sí suben la precisión; y una selección de modelo con seis modelos evaluados bajo condiciones idénticas.</w:t>
      </w:r>
    </w:p>
    <w:p w:rsidR="0083408C" w:rsidRDefault="00000000">
      <w:pPr>
        <w:spacing w:after="80"/>
      </w:pPr>
      <w:r>
        <w:rPr>
          <w:b/>
          <w:i/>
          <w:sz w:val="18"/>
        </w:rPr>
        <w:t xml:space="preserve">Palabras clave — </w:t>
      </w:r>
      <w:r>
        <w:rPr>
          <w:i/>
          <w:sz w:val="18"/>
        </w:rPr>
        <w:t>text-to-SQL; recuperación aumentada; value linking; execution accuracy; normalización de texto; contabilidad; SUNAT.</w:t>
      </w:r>
    </w:p>
    <w:p w:rsidR="0083408C" w:rsidRDefault="00000000">
      <w:r>
        <w:fldChar w:fldCharType="begin"/>
      </w:r>
      <w:r>
        <w:instrText>TOC \o "1-2" \h \z \u</w:instrText>
      </w:r>
      <w:r>
        <w:fldChar w:fldCharType="separate"/>
      </w:r>
    </w:p>
    <w:p w:rsidR="0083408C" w:rsidRDefault="00000000">
      <w:r>
        <w:fldChar w:fldCharType="end"/>
      </w:r>
    </w:p>
    <w:p w:rsidR="0083408C" w:rsidRDefault="0083408C">
      <w:pPr>
        <w:sectPr w:rsidR="0083408C">
          <w:footerReference w:type="default" r:id="rId8"/>
          <w:pgSz w:w="12240" w:h="15840"/>
          <w:pgMar w:top="1009" w:right="935" w:bottom="1009" w:left="935" w:header="720" w:footer="720" w:gutter="0"/>
          <w:cols w:space="288"/>
          <w:docGrid w:linePitch="360"/>
        </w:sectPr>
      </w:pPr>
    </w:p>
    <w:p w:rsidR="0083408C" w:rsidRDefault="00000000">
      <w:pPr>
        <w:pStyle w:val="Heading1"/>
        <w:spacing w:before="200" w:after="80"/>
        <w:jc w:val="center"/>
      </w:pPr>
      <w:r>
        <w:rPr>
          <w:rFonts w:ascii="Times New Roman" w:hAnsi="Times New Roman"/>
          <w:smallCaps/>
          <w:sz w:val="20"/>
        </w:rPr>
        <w:t>I.  Introducción</w:t>
      </w:r>
    </w:p>
    <w:p w:rsidR="0083408C" w:rsidRDefault="00000000">
      <w:r>
        <w:t>Toda empresa peruana formal entrega mensualmente a la SUNAT sus registros de compras y ventas (SIRE) y sus libros electrónicos (PLE). Esos archivos son la verdad contable de la empresa —están completos, fechados y ya validados externamente— y sin embargo son ilegibles para quien toma decisiones: llegan como texto plano delimitado por barras, en cp1252, con los campos identificados por posición y con las cuentas contables reducidas a códigos sin descripción.</w:t>
      </w:r>
    </w:p>
    <w:p w:rsidR="0083408C" w:rsidRDefault="00000000">
      <w:r>
        <w:t>El caso de estudio es una empresa pesquera y acuícola con 469.567 filas en doce tablas (2023 a 2026): seis tablas de hechos ingeridas de seis fuentes SUNAT y seis dimensiones derivadas. Las preguntas que el negocio hace todos los meses son de una simplicidad engañosa —</w:t>
      </w:r>
      <w:r>
        <w:rPr>
          <w:i/>
        </w:rPr>
        <w:t>¿cuánto gastamos en mantenimiento de embarcaciones?</w:t>
      </w:r>
      <w:r>
        <w:t xml:space="preserve">, </w:t>
      </w:r>
      <w:r>
        <w:rPr>
          <w:i/>
        </w:rPr>
        <w:t>¿cuánto le compré a Chicche?</w:t>
      </w:r>
      <w:r>
        <w:t xml:space="preserve">— y ninguna es difícil si uno ya sabe SQL, qué tabla tiene el dato, que </w:t>
      </w:r>
      <w:r>
        <w:rPr>
          <w:i/>
        </w:rPr>
        <w:t>mantenimiento</w:t>
      </w:r>
      <w:r>
        <w:t xml:space="preserve"> no es una columna sino una palabra abreviada dentro de un campo de texto libre, y que la cuenta </w:t>
      </w:r>
      <w:r>
        <w:rPr>
          <w:i/>
        </w:rPr>
        <w:t>62</w:t>
      </w:r>
      <w:r>
        <w:t xml:space="preserve"> significa cargas de personal. Ese conocimiento es tácito y vive en una o dos personas.</w:t>
      </w:r>
    </w:p>
    <w:p w:rsidR="0083408C" w:rsidRDefault="00000000">
      <w:r>
        <w:t xml:space="preserve">El cuello de botella no es el motor de base de datos —DuckDB responde estas agregaciones en milisegundos— sino la traducción: cada pregunta del gerente interrumpe a un contador, que a su vez necesita a alguien que escriba SQL. Y la dificultad interesante, la que hace de esto un problema de procesamiento de lenguaje natural y no de ingeniería de datos, es que el lenguaje del usuario y el de los datos no coinciden: el usuario dice </w:t>
      </w:r>
      <w:r>
        <w:rPr>
          <w:i/>
        </w:rPr>
        <w:t>cargas de personal</w:t>
      </w:r>
      <w:r>
        <w:t xml:space="preserve"> y los datos dicen </w:t>
      </w:r>
      <w:r>
        <w:rPr>
          <w:i/>
        </w:rPr>
        <w:t>629130</w:t>
      </w:r>
      <w:r>
        <w:t>. La sección II detalla esa distancia; cerrarla es el trabajo.</w:t>
      </w:r>
    </w:p>
    <w:p w:rsidR="0083408C" w:rsidRDefault="00000000">
      <w:pPr>
        <w:pStyle w:val="Heading1"/>
        <w:spacing w:before="200" w:after="80"/>
        <w:jc w:val="center"/>
      </w:pPr>
      <w:r>
        <w:rPr>
          <w:rFonts w:ascii="Times New Roman" w:hAnsi="Times New Roman"/>
          <w:smallCaps/>
          <w:sz w:val="20"/>
        </w:rPr>
        <w:t>II.  Situación problemática</w:t>
      </w:r>
    </w:p>
    <w:p w:rsidR="0083408C" w:rsidRDefault="00000000">
      <w:r>
        <w:t>El problema central es clásico de semantic parsing: dada una pregunta en español y una base de datos, producir SQL cuya ejecución la responda. Lo que lo particulariza no es el tamaño del esquema sino el dominio.</w:t>
      </w:r>
    </w:p>
    <w:p w:rsidR="0083408C" w:rsidRDefault="00000000">
      <w:pPr>
        <w:pStyle w:val="Heading2"/>
        <w:spacing w:before="160" w:after="40"/>
        <w:jc w:val="left"/>
      </w:pPr>
      <w:r>
        <w:rPr>
          <w:rFonts w:ascii="Times New Roman" w:hAnsi="Times New Roman"/>
          <w:b w:val="0"/>
          <w:i/>
          <w:sz w:val="20"/>
        </w:rPr>
        <w:t>A.  El esquema creció; los valores siguen siendo enormes</w:t>
      </w:r>
    </w:p>
    <w:p w:rsidR="0083408C" w:rsidRDefault="00000000">
      <w:r>
        <w:t>Este trabajo empezó con tres tablas y 62 columnas, que eran solo 42 nombres distintos porque compras y ventas comparten casi todo. Ese esquema cabía holgadamente en un prompt, y esa observación fue la premisa de buena parte del diseño. Ya no es cierta: al incorporar las fuentes SUNAT que estaban sin usar, la base pasó a doce tablas y 150 columnas, y el catálogo que se inyecta en el prompt pasó de 10.261 a 23.433 caracteres (sección VI-G). Lo que no ha cambiado es la otra mitad de la asimetría: el significado sigue viviendo en los valores —856 razones sociales de proveedor, 3.395 cuentas en el plan contable de la empresa y 26.921 glosas distintas de texto libre—, y esa asimetría decide dónde tiene sentido recuperar y dónde no.</w:t>
      </w:r>
    </w:p>
    <w:p w:rsidR="0083408C" w:rsidRDefault="00000000">
      <w:pPr>
        <w:pStyle w:val="Heading2"/>
        <w:spacing w:before="160" w:after="40"/>
        <w:jc w:val="left"/>
      </w:pPr>
      <w:r>
        <w:rPr>
          <w:rFonts w:ascii="Times New Roman" w:hAnsi="Times New Roman"/>
          <w:b w:val="0"/>
          <w:i/>
          <w:sz w:val="20"/>
        </w:rPr>
        <w:t>B.  El lenguaje de las glosas</w:t>
      </w:r>
    </w:p>
    <w:p w:rsidR="0083408C" w:rsidRDefault="00000000">
      <w:r>
        <w:t xml:space="preserve">La glosa es el campo donde el contador describe cada asiento: mayúsculas, sin tildes, fuertemente abreviada y contaminada por restos de otros campos. Conceptos de gasto enteros —mantenimiento, combustible, detracciones, tripulación, seguros, alquileres, artes de pesca— no tienen ninguna columna que los codifique: solo existen ahí. Y un filtro léxico ingenuo como LIKE '%MANTENIMIENTO%' se pierde </w:t>
      </w:r>
      <w:r>
        <w:rPr>
          <w:i/>
        </w:rPr>
        <w:t>MANTEN.</w:t>
      </w:r>
      <w:r>
        <w:t xml:space="preserve">, </w:t>
      </w:r>
      <w:r>
        <w:rPr>
          <w:i/>
        </w:rPr>
        <w:t>ARMADO</w:t>
      </w:r>
      <w:r>
        <w:t xml:space="preserve"> y </w:t>
      </w:r>
      <w:r>
        <w:rPr>
          <w:i/>
        </w:rPr>
        <w:t>REPARAC.</w:t>
      </w:r>
      <w:r>
        <w:t>.</w:t>
      </w:r>
    </w:p>
    <w:p w:rsidR="0083408C" w:rsidRDefault="00000000">
      <w:pPr>
        <w:pStyle w:val="Heading2"/>
        <w:spacing w:before="160" w:after="40"/>
        <w:jc w:val="left"/>
      </w:pPr>
      <w:r>
        <w:rPr>
          <w:rFonts w:ascii="Times New Roman" w:hAnsi="Times New Roman"/>
          <w:b w:val="0"/>
          <w:i/>
          <w:sz w:val="20"/>
        </w:rPr>
        <w:lastRenderedPageBreak/>
        <w:t>C.  Convenciones que el modelo no puede adivinar</w:t>
      </w:r>
    </w:p>
    <w:p w:rsidR="0083408C" w:rsidRDefault="00000000">
      <w:pPr>
        <w:pStyle w:val="ListBullet"/>
      </w:pPr>
      <w:r>
        <w:t>El período es un entero AAAAMM (202503 = marzo de 2025), no una fecha.</w:t>
      </w:r>
    </w:p>
    <w:p w:rsidR="0083408C" w:rsidRDefault="00000000">
      <w:pPr>
        <w:pStyle w:val="ListBullet"/>
      </w:pPr>
      <w:r>
        <w:t>Soles y dólares conviven en la misma tabla, así que sumar total_cp sin convertir mezcla monedas; y la conversión va con un CASE sobre la moneda y no multiplicando siempre por tipo_cambio, porque en compras las filas en soles traen tipo_cambio = 0. Las notas de crédito ya vienen en negativo: restarlas otra vez es un error frecuente y silencioso.</w:t>
      </w:r>
    </w:p>
    <w:p w:rsidR="0083408C" w:rsidRDefault="00000000">
      <w:pPr>
        <w:pStyle w:val="ListBullet"/>
      </w:pPr>
      <w:r>
        <w:t xml:space="preserve">El libro mayor y el diario no tienen tipo de cambio —sus importes ya están en soles— y </w:t>
      </w:r>
      <w:r>
        <w:rPr>
          <w:i/>
        </w:rPr>
        <w:t>cuánto se gastó</w:t>
      </w:r>
      <w:r>
        <w:t xml:space="preserve"> se responde con SUM(debe), no con SUM(debe) − SUM(haber), que es un saldo.</w:t>
      </w:r>
    </w:p>
    <w:p w:rsidR="0083408C" w:rsidRDefault="00000000">
      <w:pPr>
        <w:pStyle w:val="ListBullet"/>
      </w:pPr>
      <w:r>
        <w:t>El plan de cuentas es jerárquico por prefijo: la familia 63 se filtra con LIKE '63%', nunca con igualdad, porque los códigos tienen de 4 a 8 dígitos.</w:t>
      </w:r>
    </w:p>
    <w:p w:rsidR="0083408C" w:rsidRDefault="00000000">
      <w:pPr>
        <w:pStyle w:val="ListBullet"/>
      </w:pPr>
      <w:r>
        <w:t>Hay pares de tablas que describen el mismo hecho desde dos ángulos y sus totales se parecen lo bastante como para que cruzarlas no cante (sección V-B).</w:t>
      </w:r>
    </w:p>
    <w:p w:rsidR="0083408C" w:rsidRDefault="00000000">
      <w:pPr>
        <w:pStyle w:val="Heading2"/>
        <w:spacing w:before="160" w:after="40"/>
        <w:jc w:val="left"/>
      </w:pPr>
      <w:r>
        <w:rPr>
          <w:rFonts w:ascii="Times New Roman" w:hAnsi="Times New Roman"/>
          <w:b w:val="0"/>
          <w:i/>
          <w:sz w:val="20"/>
        </w:rPr>
        <w:t>D.  Restricciones de operación</w:t>
      </w:r>
    </w:p>
    <w:p w:rsidR="0083408C" w:rsidRDefault="00000000">
      <w:r>
        <w:t>Tres, y condicionan el diseño entero. Seguridad: se ejecuta SQL escrito por un modelo generativo sobre datos tributarios reales, así que solo lectura, y la garantía la da el código y no el prompt. Reproducibilidad: sin muestreo determinista, dos corridas del mismo código mueven del orden de siete preguntas y ninguna ablación es medible. Portabilidad: motor analítico, proveedor de LLM, almacén vectorial y modelo de embeddings están detrás de interfaces, porque ninguno es una decisión definitiva.</w:t>
      </w:r>
    </w:p>
    <w:p w:rsidR="0083408C" w:rsidRDefault="00000000">
      <w:pPr>
        <w:pStyle w:val="Heading1"/>
        <w:spacing w:before="200" w:after="80"/>
        <w:jc w:val="center"/>
      </w:pPr>
      <w:r>
        <w:rPr>
          <w:rFonts w:ascii="Times New Roman" w:hAnsi="Times New Roman"/>
          <w:smallCaps/>
          <w:sz w:val="20"/>
        </w:rPr>
        <w:t>III.  Estado del arte</w:t>
      </w:r>
    </w:p>
    <w:p w:rsidR="0083408C" w:rsidRDefault="00000000">
      <w:r>
        <w:t>Se citan únicamente trabajos de conocimiento establecido y las especificaciones oficiales del dominio; ninguna cifra de este informe procede de ellos.</w:t>
      </w:r>
    </w:p>
    <w:p w:rsidR="0083408C" w:rsidRDefault="00000000">
      <w:pPr>
        <w:pStyle w:val="Heading2"/>
        <w:spacing w:before="160" w:after="40"/>
        <w:jc w:val="left"/>
      </w:pPr>
      <w:r>
        <w:rPr>
          <w:rFonts w:ascii="Times New Roman" w:hAnsi="Times New Roman"/>
          <w:b w:val="0"/>
          <w:i/>
          <w:sz w:val="20"/>
        </w:rPr>
        <w:t>A.  Semantic parsing y execution accuracy</w:t>
      </w:r>
    </w:p>
    <w:p w:rsidR="0083408C" w:rsidRDefault="00000000">
      <w:r>
        <w:t xml:space="preserve">La tarea se formaliza como semantic parsing y su evaluación estándar se consolidó con Spider [1] —y su panorámica de método está en la encuesta de Hong et al. [4]—, que introdujo la práctica de comparar el resultado de ejecutar la consulta generada contra el de la de referencia, en lugar del texto de ambas: hay muchas formas correctas de escribir la misma </w:t>
      </w:r>
      <w:r>
        <w:t>agregación y penalizar la forma mide estilo. Este trabajo adopta esa métrica como principal y deja el exact match como secundaria. La sección VI-E documenta un límite que la literatura asume sin discutir: es binaria, así que cuando la respuesta exige enumerar raíces léxicas de vocabulario abierto trata igual un error del 30 % y uno de un factor mil. La otra advertencia la da Spider 2.0 [3]: sobre esquemas empresariales reales, de 700 a 800 columnas, los métodos actuales no pasan del 30 %, cuando en Spider superan el 90 %. El problema cambia de naturaleza con la escala del esquema, y este trabajo se sitúa en el extremo pequeño: doce tablas.</w:t>
      </w:r>
    </w:p>
    <w:p w:rsidR="0083408C" w:rsidRDefault="00000000">
      <w:pPr>
        <w:pStyle w:val="Heading2"/>
        <w:spacing w:before="160" w:after="40"/>
        <w:jc w:val="left"/>
      </w:pPr>
      <w:r>
        <w:rPr>
          <w:rFonts w:ascii="Times New Roman" w:hAnsi="Times New Roman"/>
          <w:b w:val="0"/>
          <w:i/>
          <w:sz w:val="20"/>
        </w:rPr>
        <w:t>B.  Value linking: el cuello de botella no es el esquema</w:t>
      </w:r>
    </w:p>
    <w:p w:rsidR="0083408C" w:rsidRDefault="00000000">
      <w:r>
        <w:t xml:space="preserve">BIRD [2] es el banco de referencia sobre bases reales —12.751 pares pregunta→SQL sobre 95 bases de datos y 37 dominios— y conviene saber cómo está partido, porque las cifras que se citan más abajo lo distinguen: el conjunto de desarrollo es público y con él se puede iterar, mientras que el de prueba está oculto y solo devuelve la nota, de modo que un resultado sobre </w:t>
      </w:r>
      <w:r>
        <w:rPr>
          <w:i/>
        </w:rPr>
        <w:t>dev</w:t>
      </w:r>
      <w:r>
        <w:t xml:space="preserve"> es más benévolo que el mismo número sobre </w:t>
      </w:r>
      <w:r>
        <w:rPr>
          <w:i/>
        </w:rPr>
        <w:t>test</w:t>
      </w:r>
      <w:r>
        <w:t>. Su aportación conceptual es que formula el value linking —anclar los literales del WHERE en los valores que existen en la base— como categoría de error propia, distinta del schema linking —recortar el esquema a las tablas pertinentes, lo que la literatura llama PODA, para que el modelo no vea las demás—. El diagnóstico describe el caso de estudio: el esquema es conocido y estable, mientras que la respuesta depende de acertar un literal (</w:t>
      </w:r>
      <w:r>
        <w:rPr>
          <w:i/>
        </w:rPr>
        <w:t>MANTEN.</w:t>
      </w:r>
      <w:r>
        <w:t>) o un prefijo de cuenta (</w:t>
      </w:r>
      <w:r>
        <w:rPr>
          <w:i/>
        </w:rPr>
        <w:t>63%</w:t>
      </w:r>
      <w:r>
        <w:t>) que no se deduce del enunciado. Los dos recuperadores del sistema atacan ese fallo.</w:t>
      </w:r>
    </w:p>
    <w:p w:rsidR="0083408C" w:rsidRDefault="00000000">
      <w:pPr>
        <w:pStyle w:val="Heading2"/>
        <w:spacing w:before="160" w:after="40"/>
        <w:jc w:val="left"/>
      </w:pPr>
      <w:r>
        <w:rPr>
          <w:rFonts w:ascii="Times New Roman" w:hAnsi="Times New Roman"/>
          <w:b w:val="0"/>
          <w:i/>
          <w:sz w:val="20"/>
        </w:rPr>
        <w:t>C.  Cómo lo resuelven otros: cinco estrategias publicadas</w:t>
      </w:r>
    </w:p>
    <w:p w:rsidR="0083408C" w:rsidRDefault="00000000">
      <w:r>
        <w:t>El problema no es nuevo y conviene situar la solución de este trabajo frente a las que ya están publicadas. Se recogen nueve, elegidas porque cada una ataca una pieza distinta del mismo problema. La tabla las mide a todas con la misma vara —execution accuracy sobre BIRD— porque sin un eje común no hay comparación posible, pero conviene no confundir el eje con el objetivo: las seis no persiguen lo mismo. CHESS busca acertar más Y llamar menos veces al modelo, BASE-SQL busca simplicidad con modelos abiertos, y Schema-First Retrieval ni siquiera busca acertar más, sino que el SQL no falle al ejecutarse. Eso es lo que recogen las columnas de estrategia y de relación con este trabajo; la de acierto, por sí sola, lo aplastaría.</w:t>
      </w:r>
    </w:p>
    <w:p w:rsidR="0083408C" w:rsidRDefault="0083408C">
      <w:pPr>
        <w:sectPr w:rsidR="0083408C">
          <w:type w:val="continuous"/>
          <w:pgSz w:w="12240" w:h="15840"/>
          <w:pgMar w:top="1009" w:right="935" w:bottom="1009" w:left="935" w:header="720" w:footer="720" w:gutter="0"/>
          <w:cols w:num="2" w:space="288"/>
          <w:docGrid w:linePitch="360"/>
        </w:sectPr>
      </w:pPr>
    </w:p>
    <w:p w:rsidR="00547C98" w:rsidRDefault="00547C98">
      <w:pPr>
        <w:keepNext/>
        <w:spacing w:before="160" w:after="40"/>
        <w:jc w:val="left"/>
        <w:rPr>
          <w:b/>
          <w:sz w:val="16"/>
        </w:rPr>
      </w:pPr>
    </w:p>
    <w:p w:rsidR="0083408C" w:rsidRPr="00C678CF" w:rsidRDefault="00000000">
      <w:pPr>
        <w:keepNext/>
        <w:spacing w:before="160" w:after="40"/>
        <w:jc w:val="left"/>
        <w:rPr>
          <w:b/>
          <w:sz w:val="16"/>
        </w:rPr>
      </w:pPr>
      <w:proofErr w:type="spellStart"/>
      <w:r>
        <w:rPr>
          <w:b/>
          <w:sz w:val="16"/>
        </w:rPr>
        <w:t>Tabla</w:t>
      </w:r>
      <w:proofErr w:type="spellEnd"/>
      <w:r>
        <w:rPr>
          <w:b/>
          <w:sz w:val="16"/>
        </w:rPr>
        <w:t xml:space="preserve"> 1. Estrategias publicadas para el mismo problema, y qué hace este trabajo</w:t>
      </w:r>
    </w:p>
    <w:tbl>
      <w:tblPr>
        <w:tblStyle w:val="TableGrid"/>
        <w:tblW w:w="0" w:type="auto"/>
        <w:tblLook w:val="04A0" w:firstRow="1" w:lastRow="0" w:firstColumn="1" w:lastColumn="0" w:noHBand="0" w:noVBand="1"/>
      </w:tblPr>
      <w:tblGrid>
        <w:gridCol w:w="2074"/>
        <w:gridCol w:w="2074"/>
        <w:gridCol w:w="2074"/>
        <w:gridCol w:w="2074"/>
        <w:gridCol w:w="2074"/>
      </w:tblGrid>
      <w:tr w:rsidR="0083408C">
        <w:trPr>
          <w:tblHeader/>
        </w:trPr>
        <w:tc>
          <w:tcPr>
            <w:tcW w:w="2074" w:type="dxa"/>
            <w:shd w:val="clear" w:color="auto" w:fill="1F3864"/>
          </w:tcPr>
          <w:p w:rsidR="0083408C" w:rsidRDefault="00000000">
            <w:pPr>
              <w:spacing w:after="0"/>
              <w:jc w:val="left"/>
            </w:pPr>
            <w:r>
              <w:rPr>
                <w:b/>
                <w:color w:val="FFFFFF"/>
                <w:sz w:val="15"/>
              </w:rPr>
              <w:t>Trabajo</w:t>
            </w:r>
          </w:p>
        </w:tc>
        <w:tc>
          <w:tcPr>
            <w:tcW w:w="2074" w:type="dxa"/>
            <w:shd w:val="clear" w:color="auto" w:fill="1F3864"/>
          </w:tcPr>
          <w:p w:rsidR="0083408C" w:rsidRDefault="00000000">
            <w:pPr>
              <w:spacing w:after="0"/>
              <w:jc w:val="left"/>
            </w:pPr>
            <w:r>
              <w:rPr>
                <w:b/>
                <w:color w:val="FFFFFF"/>
                <w:sz w:val="15"/>
              </w:rPr>
              <w:t>Tecnologías</w:t>
            </w:r>
          </w:p>
        </w:tc>
        <w:tc>
          <w:tcPr>
            <w:tcW w:w="2074" w:type="dxa"/>
            <w:shd w:val="clear" w:color="auto" w:fill="1F3864"/>
          </w:tcPr>
          <w:p w:rsidR="0083408C" w:rsidRDefault="00000000">
            <w:pPr>
              <w:spacing w:after="0"/>
              <w:jc w:val="left"/>
            </w:pPr>
            <w:r>
              <w:rPr>
                <w:b/>
                <w:color w:val="FFFFFF"/>
                <w:sz w:val="15"/>
              </w:rPr>
              <w:t>Estrategia</w:t>
            </w:r>
          </w:p>
        </w:tc>
        <w:tc>
          <w:tcPr>
            <w:tcW w:w="2074" w:type="dxa"/>
            <w:shd w:val="clear" w:color="auto" w:fill="1F3864"/>
          </w:tcPr>
          <w:p w:rsidR="0083408C" w:rsidRDefault="00000000">
            <w:pPr>
              <w:spacing w:after="0"/>
              <w:jc w:val="left"/>
            </w:pPr>
            <w:r>
              <w:rPr>
                <w:b/>
                <w:color w:val="FFFFFF"/>
                <w:sz w:val="15"/>
              </w:rPr>
              <w:t>Exec. accuracy en BIRD</w:t>
            </w:r>
          </w:p>
        </w:tc>
        <w:tc>
          <w:tcPr>
            <w:tcW w:w="2074" w:type="dxa"/>
            <w:shd w:val="clear" w:color="auto" w:fill="1F3864"/>
          </w:tcPr>
          <w:p w:rsidR="0083408C" w:rsidRDefault="00000000">
            <w:pPr>
              <w:spacing w:after="0"/>
              <w:jc w:val="left"/>
            </w:pPr>
            <w:r>
              <w:rPr>
                <w:b/>
                <w:color w:val="FFFFFF"/>
                <w:sz w:val="15"/>
              </w:rPr>
              <w:t>Relación con este trabajo</w:t>
            </w:r>
          </w:p>
        </w:tc>
      </w:tr>
      <w:tr w:rsidR="0083408C">
        <w:trPr>
          <w:cantSplit/>
        </w:trPr>
        <w:tc>
          <w:tcPr>
            <w:tcW w:w="2074" w:type="dxa"/>
          </w:tcPr>
          <w:p w:rsidR="0083408C" w:rsidRDefault="00000000">
            <w:pPr>
              <w:spacing w:after="0"/>
              <w:jc w:val="left"/>
            </w:pPr>
            <w:r>
              <w:rPr>
                <w:b/>
                <w:sz w:val="15"/>
              </w:rPr>
              <w:t>DIN-SQL [5]</w:t>
            </w:r>
            <w:r>
              <w:rPr>
                <w:b/>
                <w:sz w:val="15"/>
              </w:rPr>
              <w:br/>
            </w:r>
            <w:r>
              <w:rPr>
                <w:sz w:val="15"/>
              </w:rPr>
              <w:t>Decomposed In-Context Learning with Self-Correction</w:t>
            </w:r>
            <w:r>
              <w:rPr>
                <w:sz w:val="15"/>
              </w:rPr>
              <w:br/>
              <w:t>Pourreza y Rafiei · NeurIPS 2023</w:t>
            </w:r>
          </w:p>
        </w:tc>
        <w:tc>
          <w:tcPr>
            <w:tcW w:w="2074" w:type="dxa"/>
          </w:tcPr>
          <w:p w:rsidR="0083408C" w:rsidRDefault="00000000">
            <w:pPr>
              <w:spacing w:after="0"/>
              <w:jc w:val="left"/>
            </w:pPr>
            <w:r>
              <w:rPr>
                <w:b/>
                <w:sz w:val="15"/>
              </w:rPr>
              <w:t>Prompting</w:t>
            </w:r>
            <w:r>
              <w:rPr>
                <w:b/>
                <w:sz w:val="15"/>
              </w:rPr>
              <w:br/>
            </w:r>
            <w:r>
              <w:rPr>
                <w:sz w:val="15"/>
              </w:rPr>
              <w:t>Few-shot</w:t>
            </w:r>
            <w:r>
              <w:rPr>
                <w:sz w:val="15"/>
              </w:rPr>
              <w:br/>
              <w:t>Auto-corrección</w:t>
            </w:r>
          </w:p>
        </w:tc>
        <w:tc>
          <w:tcPr>
            <w:tcW w:w="2074" w:type="dxa"/>
          </w:tcPr>
          <w:p w:rsidR="0083408C" w:rsidRDefault="00000000">
            <w:pPr>
              <w:spacing w:after="0"/>
              <w:jc w:val="left"/>
            </w:pPr>
            <w:r>
              <w:rPr>
                <w:sz w:val="15"/>
              </w:rPr>
              <w:t>Descomponer la TAREA, no la pregunta, en cuatro llamadas encadenadas: enlazar el esquema, clasificar la dificultad en fácil / compleja / anidada, generar con un prompt distinto por clase —las complejas pasan por una representación intermedia más simple que el SQL— y pedirle al modelo que revise su propio SQL</w:t>
            </w:r>
          </w:p>
        </w:tc>
        <w:tc>
          <w:tcPr>
            <w:tcW w:w="2074" w:type="dxa"/>
          </w:tcPr>
          <w:p w:rsidR="0083408C" w:rsidRDefault="00000000">
            <w:pPr>
              <w:spacing w:after="0"/>
              <w:jc w:val="left"/>
            </w:pPr>
            <w:r>
              <w:rPr>
                <w:b/>
                <w:sz w:val="15"/>
              </w:rPr>
              <w:t>55,9 %  ·  test</w:t>
            </w:r>
            <w:r>
              <w:rPr>
                <w:b/>
                <w:sz w:val="15"/>
              </w:rPr>
              <w:br/>
            </w:r>
            <w:r>
              <w:rPr>
                <w:sz w:val="15"/>
              </w:rPr>
              <w:t>con GPT-4. En Spider test llega al 85,3 %, frente al 79,9 % del mejor método anterior</w:t>
            </w:r>
          </w:p>
        </w:tc>
        <w:tc>
          <w:tcPr>
            <w:tcW w:w="2074" w:type="dxa"/>
          </w:tcPr>
          <w:p w:rsidR="0083408C" w:rsidRDefault="00000000">
            <w:pPr>
              <w:spacing w:after="0"/>
              <w:jc w:val="left"/>
            </w:pPr>
            <w:r>
              <w:rPr>
                <w:sz w:val="15"/>
              </w:rPr>
              <w:t>Su auto-corrección revisa el SQL A CIEGAS, sin ejecutarlo; el bucle de reintento de la sección V-F usa una señal más fuerte, el error real del motor. La clasificación por dificultad no aplica: aquí todas las consultas caen en las dos clases fáciles</w:t>
            </w:r>
          </w:p>
        </w:tc>
      </w:tr>
      <w:tr w:rsidR="0083408C">
        <w:trPr>
          <w:cantSplit/>
        </w:trPr>
        <w:tc>
          <w:tcPr>
            <w:tcW w:w="2074" w:type="dxa"/>
            <w:shd w:val="clear" w:color="auto" w:fill="F2F4F8"/>
          </w:tcPr>
          <w:p w:rsidR="0083408C" w:rsidRDefault="00000000">
            <w:pPr>
              <w:spacing w:after="0"/>
              <w:jc w:val="left"/>
            </w:pPr>
            <w:r>
              <w:rPr>
                <w:b/>
                <w:sz w:val="15"/>
              </w:rPr>
              <w:lastRenderedPageBreak/>
              <w:t>CHESS [6]</w:t>
            </w:r>
            <w:r>
              <w:rPr>
                <w:b/>
                <w:sz w:val="15"/>
              </w:rPr>
              <w:br/>
            </w:r>
            <w:r>
              <w:rPr>
                <w:sz w:val="15"/>
              </w:rPr>
              <w:t>Contextual Harnessing for Efficient SQL Synthesis</w:t>
            </w:r>
            <w:r>
              <w:rPr>
                <w:sz w:val="15"/>
              </w:rPr>
              <w:br/>
              <w:t>Talaei et al. · ICML 2025</w:t>
            </w:r>
          </w:p>
        </w:tc>
        <w:tc>
          <w:tcPr>
            <w:tcW w:w="2074" w:type="dxa"/>
            <w:shd w:val="clear" w:color="auto" w:fill="F2F4F8"/>
          </w:tcPr>
          <w:p w:rsidR="0083408C" w:rsidRDefault="00000000">
            <w:pPr>
              <w:spacing w:after="0"/>
              <w:jc w:val="left"/>
            </w:pPr>
            <w:r>
              <w:rPr>
                <w:b/>
                <w:sz w:val="15"/>
              </w:rPr>
              <w:t>RAG de valores</w:t>
            </w:r>
            <w:r>
              <w:rPr>
                <w:b/>
                <w:sz w:val="15"/>
              </w:rPr>
              <w:br/>
            </w:r>
            <w:r>
              <w:rPr>
                <w:sz w:val="15"/>
              </w:rPr>
              <w:t>LSH</w:t>
            </w:r>
            <w:r>
              <w:rPr>
                <w:sz w:val="15"/>
              </w:rPr>
              <w:br/>
              <w:t>Multiagente</w:t>
            </w:r>
          </w:p>
        </w:tc>
        <w:tc>
          <w:tcPr>
            <w:tcW w:w="2074" w:type="dxa"/>
            <w:shd w:val="clear" w:color="auto" w:fill="F2F4F8"/>
          </w:tcPr>
          <w:p w:rsidR="0083408C" w:rsidRDefault="00000000">
            <w:pPr>
              <w:spacing w:after="0"/>
              <w:jc w:val="left"/>
            </w:pPr>
            <w:r>
              <w:rPr>
                <w:sz w:val="15"/>
              </w:rPr>
              <w:t>Recuperación jerárquica de los VALORES de la base —palabras clave generadas por el modelo, indexación por LSH y búsqueda vectorial— repartida entre cuatro agentes: recuperador, selector de esquema, generador de candidatos y probador con tests en lenguaje natural</w:t>
            </w:r>
          </w:p>
        </w:tc>
        <w:tc>
          <w:tcPr>
            <w:tcW w:w="2074" w:type="dxa"/>
            <w:shd w:val="clear" w:color="auto" w:fill="F2F4F8"/>
          </w:tcPr>
          <w:p w:rsidR="0083408C" w:rsidRDefault="00000000">
            <w:pPr>
              <w:spacing w:after="0"/>
              <w:jc w:val="left"/>
            </w:pPr>
            <w:r>
              <w:rPr>
                <w:b/>
                <w:sz w:val="15"/>
              </w:rPr>
              <w:t>71,10 %  ·  test</w:t>
            </w:r>
            <w:r>
              <w:rPr>
                <w:b/>
                <w:sz w:val="15"/>
              </w:rPr>
              <w:br/>
            </w:r>
            <w:r>
              <w:rPr>
                <w:sz w:val="15"/>
              </w:rPr>
              <w:t>con Gemini 1.5 Pro y sin fine-tuning, a menos de 2 puntos del mejor método propietario y con una fracción de sus llamadas al modelo</w:t>
            </w:r>
          </w:p>
        </w:tc>
        <w:tc>
          <w:tcPr>
            <w:tcW w:w="2074" w:type="dxa"/>
            <w:shd w:val="clear" w:color="auto" w:fill="F2F4F8"/>
          </w:tcPr>
          <w:p w:rsidR="0083408C" w:rsidRDefault="00000000">
            <w:pPr>
              <w:spacing w:after="0"/>
              <w:jc w:val="left"/>
            </w:pPr>
            <w:r>
              <w:rPr>
                <w:sz w:val="15"/>
              </w:rPr>
              <w:t>Misma tesis de partida: el cuello de botella son los valores, no el esquema. Aquí se recupera sobre las glosas y las fichas del PCGE, con un solo agente y sin banco de tests generados</w:t>
            </w:r>
          </w:p>
        </w:tc>
      </w:tr>
      <w:tr w:rsidR="0083408C">
        <w:trPr>
          <w:cantSplit/>
        </w:trPr>
        <w:tc>
          <w:tcPr>
            <w:tcW w:w="2074" w:type="dxa"/>
          </w:tcPr>
          <w:p w:rsidR="0083408C" w:rsidRDefault="00000000">
            <w:pPr>
              <w:spacing w:after="0"/>
              <w:jc w:val="left"/>
            </w:pPr>
            <w:r>
              <w:rPr>
                <w:b/>
                <w:sz w:val="15"/>
              </w:rPr>
              <w:t>Knowledge-to-SQL [7]</w:t>
            </w:r>
            <w:r>
              <w:rPr>
                <w:b/>
                <w:sz w:val="15"/>
              </w:rPr>
              <w:br/>
            </w:r>
            <w:r>
              <w:rPr>
                <w:sz w:val="15"/>
              </w:rPr>
              <w:t>Enhancing SQL Generation with Data Expert LLM</w:t>
            </w:r>
            <w:r>
              <w:rPr>
                <w:sz w:val="15"/>
              </w:rPr>
              <w:br/>
              <w:t>Hong et al. · Findings of ACL 2024</w:t>
            </w:r>
          </w:p>
        </w:tc>
        <w:tc>
          <w:tcPr>
            <w:tcW w:w="2074" w:type="dxa"/>
          </w:tcPr>
          <w:p w:rsidR="0083408C" w:rsidRDefault="00000000">
            <w:pPr>
              <w:spacing w:after="0"/>
              <w:jc w:val="left"/>
            </w:pPr>
            <w:r>
              <w:rPr>
                <w:b/>
                <w:sz w:val="15"/>
              </w:rPr>
              <w:t>Fine-tuning (SFT + DPO)</w:t>
            </w:r>
            <w:r>
              <w:rPr>
                <w:b/>
                <w:sz w:val="15"/>
              </w:rPr>
              <w:br/>
            </w:r>
            <w:r>
              <w:rPr>
                <w:sz w:val="15"/>
              </w:rPr>
              <w:t>Preferencia por ejecución</w:t>
            </w:r>
          </w:p>
        </w:tc>
        <w:tc>
          <w:tcPr>
            <w:tcW w:w="2074" w:type="dxa"/>
          </w:tcPr>
          <w:p w:rsidR="0083408C" w:rsidRDefault="00000000">
            <w:pPr>
              <w:spacing w:after="0"/>
              <w:jc w:val="left"/>
            </w:pPr>
            <w:r>
              <w:rPr>
                <w:sz w:val="15"/>
              </w:rPr>
              <w:t xml:space="preserve">Entrenar un </w:t>
            </w:r>
            <w:r>
              <w:rPr>
                <w:i/>
                <w:sz w:val="15"/>
              </w:rPr>
              <w:t>Data Expert LLM</w:t>
            </w:r>
            <w:r>
              <w:rPr>
                <w:sz w:val="15"/>
              </w:rPr>
              <w:t xml:space="preserve"> que produce el conocimiento externo que la pregunta necesita y que no está ni en el esquema ni en el enunciado. Se afina en dos etapas: primero imita la anotación humana del banco y después se refina con DPO, donde la preferencia no la marca una persona sino la EJECUCIÓN: entre varios conocimientos candidatos se prefiere el que lleva a un SQL cuyo resultado coincide con el de referencia</w:t>
            </w:r>
          </w:p>
        </w:tc>
        <w:tc>
          <w:tcPr>
            <w:tcW w:w="2074" w:type="dxa"/>
          </w:tcPr>
          <w:p w:rsidR="0083408C" w:rsidRDefault="00000000">
            <w:pPr>
              <w:spacing w:after="0"/>
              <w:jc w:val="left"/>
            </w:pPr>
            <w:r>
              <w:rPr>
                <w:b/>
                <w:sz w:val="15"/>
              </w:rPr>
              <w:t>+4,69 puntos sobre el modelo base</w:t>
            </w:r>
            <w:r>
              <w:rPr>
                <w:b/>
                <w:sz w:val="15"/>
              </w:rPr>
              <w:br/>
            </w:r>
            <w:r>
              <w:rPr>
                <w:sz w:val="15"/>
              </w:rPr>
              <w:t>con GPT-4; con T5-3B, +6,31. No publica valor absoluto porque su módulo se enchufa a un text-to-SQL ya existente: mide ese mismo modelo CON y SIN el módulo</w:t>
            </w:r>
          </w:p>
        </w:tc>
        <w:tc>
          <w:tcPr>
            <w:tcW w:w="2074" w:type="dxa"/>
          </w:tcPr>
          <w:p w:rsidR="0083408C" w:rsidRDefault="00000000">
            <w:pPr>
              <w:spacing w:after="0"/>
              <w:jc w:val="left"/>
            </w:pPr>
            <w:r>
              <w:rPr>
                <w:sz w:val="15"/>
              </w:rPr>
              <w:t xml:space="preserve">Mismo diagnóstico y solución opuesta: aquí ese conocimiento </w:t>
            </w:r>
            <w:r w:rsidRPr="00547C98">
              <w:rPr>
                <w:b/>
                <w:bCs/>
                <w:sz w:val="15"/>
              </w:rPr>
              <w:t>se escribe a mano</w:t>
            </w:r>
            <w:r>
              <w:rPr>
                <w:sz w:val="15"/>
              </w:rPr>
              <w:t xml:space="preserve"> (43 reglas de negocio y 247 fichas de cuenta) y se recupera, en vez de aprenderse. Es más barato y auditable, pero no generaliza a otra empresa</w:t>
            </w:r>
          </w:p>
        </w:tc>
      </w:tr>
      <w:tr w:rsidR="0083408C">
        <w:trPr>
          <w:cantSplit/>
        </w:trPr>
        <w:tc>
          <w:tcPr>
            <w:tcW w:w="2074" w:type="dxa"/>
            <w:shd w:val="clear" w:color="auto" w:fill="F2F4F8"/>
          </w:tcPr>
          <w:p w:rsidR="0083408C" w:rsidRDefault="00000000">
            <w:pPr>
              <w:spacing w:after="0"/>
              <w:jc w:val="left"/>
            </w:pPr>
            <w:r>
              <w:rPr>
                <w:b/>
                <w:sz w:val="15"/>
              </w:rPr>
              <w:t>MAC-SQL [8]</w:t>
            </w:r>
            <w:r>
              <w:rPr>
                <w:b/>
                <w:sz w:val="15"/>
              </w:rPr>
              <w:br/>
            </w:r>
            <w:r>
              <w:rPr>
                <w:sz w:val="15"/>
              </w:rPr>
              <w:t>A Multi-Agent Collaborative Framework for Text-to-SQL</w:t>
            </w:r>
            <w:r>
              <w:rPr>
                <w:sz w:val="15"/>
              </w:rPr>
              <w:br/>
              <w:t>Wang et al. · COLING 2025</w:t>
            </w:r>
          </w:p>
        </w:tc>
        <w:tc>
          <w:tcPr>
            <w:tcW w:w="2074" w:type="dxa"/>
            <w:shd w:val="clear" w:color="auto" w:fill="F2F4F8"/>
          </w:tcPr>
          <w:p w:rsidR="0083408C" w:rsidRDefault="00000000">
            <w:pPr>
              <w:spacing w:after="0"/>
              <w:jc w:val="left"/>
            </w:pPr>
            <w:r>
              <w:rPr>
                <w:b/>
                <w:sz w:val="15"/>
              </w:rPr>
              <w:t>Multiagente</w:t>
            </w:r>
            <w:r>
              <w:rPr>
                <w:b/>
                <w:sz w:val="15"/>
              </w:rPr>
              <w:br/>
            </w:r>
            <w:r>
              <w:rPr>
                <w:sz w:val="15"/>
              </w:rPr>
              <w:t>Poda de esquema</w:t>
            </w:r>
            <w:r>
              <w:rPr>
                <w:sz w:val="15"/>
              </w:rPr>
              <w:br/>
              <w:t>Auto-corrección</w:t>
            </w:r>
          </w:p>
        </w:tc>
        <w:tc>
          <w:tcPr>
            <w:tcW w:w="2074" w:type="dxa"/>
            <w:shd w:val="clear" w:color="auto" w:fill="F2F4F8"/>
          </w:tcPr>
          <w:p w:rsidR="0083408C" w:rsidRDefault="00000000">
            <w:pPr>
              <w:spacing w:after="0"/>
              <w:jc w:val="left"/>
            </w:pPr>
            <w:r>
              <w:rPr>
                <w:sz w:val="15"/>
              </w:rPr>
              <w:t>Tres agentes: uno PODA el esquema —lo recorta a las pocas tablas que la pregunta necesita, para no pagar las demás en tokens ni en confusión—, otro descompone la pregunta en subpreguntas encadenadas y un refinador reejecuta el SQL y lo corrige con el error del motor</w:t>
            </w:r>
          </w:p>
        </w:tc>
        <w:tc>
          <w:tcPr>
            <w:tcW w:w="2074" w:type="dxa"/>
            <w:shd w:val="clear" w:color="auto" w:fill="F2F4F8"/>
          </w:tcPr>
          <w:p w:rsidR="0083408C" w:rsidRDefault="00000000">
            <w:pPr>
              <w:spacing w:after="0"/>
              <w:jc w:val="left"/>
            </w:pPr>
            <w:r>
              <w:rPr>
                <w:b/>
                <w:sz w:val="15"/>
              </w:rPr>
              <w:t>59,59 %  ·  test</w:t>
            </w:r>
            <w:r>
              <w:rPr>
                <w:b/>
                <w:sz w:val="15"/>
              </w:rPr>
              <w:br/>
            </w:r>
            <w:r>
              <w:rPr>
                <w:sz w:val="15"/>
              </w:rPr>
              <w:t>con GPT-4</w:t>
            </w:r>
          </w:p>
        </w:tc>
        <w:tc>
          <w:tcPr>
            <w:tcW w:w="2074" w:type="dxa"/>
            <w:shd w:val="clear" w:color="auto" w:fill="F2F4F8"/>
          </w:tcPr>
          <w:p w:rsidR="0083408C" w:rsidRDefault="00000000">
            <w:pPr>
              <w:spacing w:after="0"/>
              <w:jc w:val="left"/>
            </w:pPr>
            <w:r>
              <w:rPr>
                <w:sz w:val="15"/>
              </w:rPr>
              <w:t xml:space="preserve">La poda y el refinador coinciden con el RAG de catálogo y con el bucle de auto-corrección de la sección V-F. Lo que aquí no se hace es descomponer la pregunta: en este dominio son consultas de </w:t>
            </w:r>
            <w:r w:rsidRPr="00547C98">
              <w:rPr>
                <w:b/>
                <w:bCs/>
                <w:sz w:val="15"/>
              </w:rPr>
              <w:t>una sola agregación</w:t>
            </w:r>
          </w:p>
        </w:tc>
      </w:tr>
      <w:tr w:rsidR="0083408C">
        <w:trPr>
          <w:cantSplit/>
        </w:trPr>
        <w:tc>
          <w:tcPr>
            <w:tcW w:w="2074" w:type="dxa"/>
          </w:tcPr>
          <w:p w:rsidR="0083408C" w:rsidRDefault="00000000">
            <w:pPr>
              <w:spacing w:after="0"/>
              <w:jc w:val="left"/>
            </w:pPr>
            <w:r>
              <w:rPr>
                <w:b/>
                <w:sz w:val="15"/>
              </w:rPr>
              <w:t>BASE-SQL [9]</w:t>
            </w:r>
            <w:r>
              <w:rPr>
                <w:b/>
                <w:sz w:val="15"/>
              </w:rPr>
              <w:br/>
            </w:r>
            <w:r>
              <w:rPr>
                <w:sz w:val="15"/>
              </w:rPr>
              <w:t>A Powerful Open Source Text-to-SQL Baseline Approach</w:t>
            </w:r>
            <w:r>
              <w:rPr>
                <w:sz w:val="15"/>
              </w:rPr>
              <w:br/>
              <w:t>arXiv:2502.10739 · 2025</w:t>
            </w:r>
          </w:p>
        </w:tc>
        <w:tc>
          <w:tcPr>
            <w:tcW w:w="2074" w:type="dxa"/>
          </w:tcPr>
          <w:p w:rsidR="0083408C" w:rsidRDefault="00000000">
            <w:pPr>
              <w:spacing w:after="0"/>
              <w:jc w:val="left"/>
            </w:pPr>
            <w:r>
              <w:rPr>
                <w:b/>
                <w:sz w:val="15"/>
              </w:rPr>
              <w:t>Fine-tuning</w:t>
            </w:r>
            <w:r>
              <w:rPr>
                <w:b/>
                <w:sz w:val="15"/>
              </w:rPr>
              <w:br/>
            </w:r>
            <w:r>
              <w:rPr>
                <w:sz w:val="15"/>
              </w:rPr>
              <w:t>Ensamblado de candidatos</w:t>
            </w:r>
          </w:p>
        </w:tc>
        <w:tc>
          <w:tcPr>
            <w:tcW w:w="2074" w:type="dxa"/>
          </w:tcPr>
          <w:p w:rsidR="0083408C" w:rsidRDefault="00000000">
            <w:pPr>
              <w:spacing w:after="0"/>
              <w:jc w:val="left"/>
            </w:pPr>
            <w:r>
              <w:rPr>
                <w:sz w:val="15"/>
              </w:rPr>
              <w:t>Tubería de cuatro pasos —enlace de esquema, generación de candidatos, revisión y fusión— sobre un modelo abierto afinado, con cinco llamadas por consulta</w:t>
            </w:r>
          </w:p>
        </w:tc>
        <w:tc>
          <w:tcPr>
            <w:tcW w:w="2074" w:type="dxa"/>
          </w:tcPr>
          <w:p w:rsidR="0083408C" w:rsidRDefault="00000000">
            <w:pPr>
              <w:spacing w:after="0"/>
              <w:jc w:val="left"/>
            </w:pPr>
            <w:r>
              <w:rPr>
                <w:b/>
                <w:sz w:val="15"/>
              </w:rPr>
              <w:t>67,47 %  ·  dev</w:t>
            </w:r>
            <w:r>
              <w:rPr>
                <w:b/>
                <w:sz w:val="15"/>
              </w:rPr>
              <w:br/>
            </w:r>
            <w:r>
              <w:rPr>
                <w:sz w:val="15"/>
              </w:rPr>
              <w:t>con Qwen2.5-Coder-32B, por encima de varios métodos que usan GPT-4o. En Spider test, 88,9 %</w:t>
            </w:r>
          </w:p>
        </w:tc>
        <w:tc>
          <w:tcPr>
            <w:tcW w:w="2074" w:type="dxa"/>
          </w:tcPr>
          <w:p w:rsidR="0083408C" w:rsidRDefault="00000000">
            <w:pPr>
              <w:spacing w:after="0"/>
              <w:jc w:val="left"/>
            </w:pPr>
            <w:r>
              <w:rPr>
                <w:sz w:val="15"/>
              </w:rPr>
              <w:t>Sostiene lo que aquí se mide en la sección VI-F: una tubería simple con un modelo abierto es competitiva, y por eso el baseline es difícil de batir</w:t>
            </w:r>
          </w:p>
        </w:tc>
      </w:tr>
      <w:tr w:rsidR="0083408C">
        <w:trPr>
          <w:cantSplit/>
        </w:trPr>
        <w:tc>
          <w:tcPr>
            <w:tcW w:w="2074" w:type="dxa"/>
            <w:shd w:val="clear" w:color="auto" w:fill="F2F4F8"/>
          </w:tcPr>
          <w:p w:rsidR="0083408C" w:rsidRDefault="00000000">
            <w:pPr>
              <w:spacing w:after="0"/>
              <w:jc w:val="left"/>
            </w:pPr>
            <w:proofErr w:type="spellStart"/>
            <w:r>
              <w:rPr>
                <w:b/>
                <w:sz w:val="15"/>
              </w:rPr>
              <w:t>Agentar</w:t>
            </w:r>
            <w:proofErr w:type="spellEnd"/>
            <w:r>
              <w:rPr>
                <w:b/>
                <w:sz w:val="15"/>
              </w:rPr>
              <w:t>-Scale-SQL [12]</w:t>
            </w:r>
            <w:r>
              <w:rPr>
                <w:b/>
                <w:sz w:val="15"/>
              </w:rPr>
              <w:br/>
            </w:r>
            <w:r>
              <w:rPr>
                <w:sz w:val="15"/>
              </w:rPr>
              <w:t>Advancing Text-to-SQL through Orchestrated Test-Time Scaling</w:t>
            </w:r>
            <w:r>
              <w:rPr>
                <w:sz w:val="15"/>
              </w:rPr>
              <w:br/>
              <w:t>Wang et al. · Ant Group · arXiv 2025</w:t>
            </w:r>
          </w:p>
        </w:tc>
        <w:tc>
          <w:tcPr>
            <w:tcW w:w="2074" w:type="dxa"/>
            <w:shd w:val="clear" w:color="auto" w:fill="F2F4F8"/>
          </w:tcPr>
          <w:p w:rsidR="0083408C" w:rsidRDefault="00000000">
            <w:pPr>
              <w:spacing w:after="0"/>
              <w:jc w:val="left"/>
            </w:pPr>
            <w:r>
              <w:rPr>
                <w:b/>
                <w:sz w:val="15"/>
              </w:rPr>
              <w:t>Fine-tuning por refuerzo</w:t>
            </w:r>
            <w:r>
              <w:rPr>
                <w:b/>
                <w:sz w:val="15"/>
              </w:rPr>
              <w:br/>
            </w:r>
            <w:r>
              <w:rPr>
                <w:sz w:val="15"/>
              </w:rPr>
              <w:t>Test-time scaling</w:t>
            </w:r>
          </w:p>
        </w:tc>
        <w:tc>
          <w:tcPr>
            <w:tcW w:w="2074" w:type="dxa"/>
            <w:shd w:val="clear" w:color="auto" w:fill="F2F4F8"/>
          </w:tcPr>
          <w:p w:rsidR="0083408C" w:rsidRDefault="00000000">
            <w:pPr>
              <w:spacing w:after="0"/>
              <w:jc w:val="left"/>
            </w:pPr>
            <w:r>
              <w:rPr>
                <w:sz w:val="15"/>
              </w:rPr>
              <w:t>Gastar cómputo en el momento de responder: razonamiento reforzado por RL, refinamiento iterativo y generación de candidatos en paralelo con selección por torneo</w:t>
            </w:r>
          </w:p>
        </w:tc>
        <w:tc>
          <w:tcPr>
            <w:tcW w:w="2074" w:type="dxa"/>
            <w:shd w:val="clear" w:color="auto" w:fill="F2F4F8"/>
          </w:tcPr>
          <w:p w:rsidR="0083408C" w:rsidRDefault="00000000">
            <w:pPr>
              <w:spacing w:after="0"/>
              <w:jc w:val="left"/>
            </w:pPr>
            <w:r>
              <w:rPr>
                <w:b/>
                <w:sz w:val="15"/>
              </w:rPr>
              <w:t>81,67 %  ·  test</w:t>
            </w:r>
            <w:r>
              <w:rPr>
                <w:b/>
                <w:sz w:val="15"/>
              </w:rPr>
              <w:br/>
            </w:r>
            <w:r>
              <w:rPr>
                <w:sz w:val="15"/>
              </w:rPr>
              <w:t>primero del ranking oficial de BIRD, con un modelo de 32B afinado por RL</w:t>
            </w:r>
          </w:p>
        </w:tc>
        <w:tc>
          <w:tcPr>
            <w:tcW w:w="2074" w:type="dxa"/>
            <w:shd w:val="clear" w:color="auto" w:fill="F2F4F8"/>
          </w:tcPr>
          <w:p w:rsidR="0083408C" w:rsidRDefault="00000000">
            <w:pPr>
              <w:spacing w:after="0"/>
              <w:jc w:val="left"/>
            </w:pPr>
            <w:r>
              <w:rPr>
                <w:sz w:val="15"/>
              </w:rPr>
              <w:t>Marca el techo actual y también su precio: sus propios autores advierten de la latencia y del coste de las múltiples llamadas. Aquí la restricción es la contraria, una consulta conversacional en segundos</w:t>
            </w:r>
          </w:p>
        </w:tc>
      </w:tr>
    </w:tbl>
    <w:p w:rsidR="0083408C" w:rsidRDefault="00000000">
      <w:pPr>
        <w:spacing w:before="40" w:after="160"/>
        <w:jc w:val="left"/>
      </w:pPr>
      <w:r>
        <w:rPr>
          <w:i/>
          <w:sz w:val="15"/>
        </w:rPr>
        <w:t xml:space="preserve">Las </w:t>
      </w:r>
      <w:proofErr w:type="spellStart"/>
      <w:r>
        <w:rPr>
          <w:i/>
          <w:sz w:val="15"/>
        </w:rPr>
        <w:t>tecnologías</w:t>
      </w:r>
      <w:proofErr w:type="spellEnd"/>
      <w:r>
        <w:rPr>
          <w:i/>
          <w:sz w:val="15"/>
        </w:rPr>
        <w:t xml:space="preserve"> son </w:t>
      </w:r>
      <w:proofErr w:type="spellStart"/>
      <w:r>
        <w:rPr>
          <w:i/>
          <w:sz w:val="15"/>
        </w:rPr>
        <w:t>etiquetas</w:t>
      </w:r>
      <w:proofErr w:type="spellEnd"/>
      <w:r>
        <w:rPr>
          <w:i/>
          <w:sz w:val="15"/>
        </w:rPr>
        <w:t xml:space="preserve">, no una lista exhaustiva: recogen lo que cada trabajo pone en el centro. Este trabajo usaría RAG de glosas y de catálogo, validación por análisis sintáctico y ningún entrenamiento. La cuarta columna se ha reducido a una sola métrica para que pueda leerse en vertical: execution accuracy sobre BIRD, la misma métrica principal de este informe. </w:t>
      </w:r>
      <w:r>
        <w:rPr>
          <w:sz w:val="15"/>
        </w:rPr>
        <w:t>test</w:t>
      </w:r>
      <w:r>
        <w:rPr>
          <w:i/>
          <w:sz w:val="15"/>
        </w:rPr>
        <w:t xml:space="preserve"> es el conjunto oculto y </w:t>
      </w:r>
      <w:r>
        <w:rPr>
          <w:sz w:val="15"/>
        </w:rPr>
        <w:t>dev</w:t>
      </w:r>
      <w:r>
        <w:rPr>
          <w:i/>
          <w:sz w:val="15"/>
        </w:rPr>
        <w:t xml:space="preserve"> el público, de modo que 67,47 % sobre dev NO equivale a 67,47 % sobre test. Dos de los seis trabajos no juegan en ese eje y lo declaran en su celda. El modelo generador va en cada celda a propósito: el mismo método con otro modelo da otra cifra, que es justamente lo que mide la sección VI-F. Ninguna de estas cifras es comparable con las de este informe, medidas sobre un banco propio de 50 preguntas y una sola base de datos (sección VII-A).</w:t>
      </w:r>
    </w:p>
    <w:p w:rsidR="0083408C" w:rsidRDefault="0083408C">
      <w:pPr>
        <w:sectPr w:rsidR="0083408C">
          <w:type w:val="continuous"/>
          <w:pgSz w:w="12240" w:h="15840"/>
          <w:pgMar w:top="1009" w:right="935" w:bottom="1009" w:left="935" w:header="720" w:footer="720" w:gutter="0"/>
          <w:cols w:space="288"/>
          <w:docGrid w:linePitch="360"/>
        </w:sectPr>
      </w:pPr>
    </w:p>
    <w:p w:rsidR="0083408C" w:rsidRDefault="00000000">
      <w:r>
        <w:t xml:space="preserve">El mapa que dibujan es útil porque agota las formas conocidas de atacar el problema. Dos van a por los VALORES (CHESS recuperándolos, Knowledge-to-SQL generando el conocimiento que falta); dos, a por el ESQUEMA (MAC-SQL podándolo, Schema-First Retrieval indexándolo); tres trabajan la FORMA de pedirlo (DIN-SQL descomponiendo, DAIL-SQL eligiendo ejemplos, BASE-SQL demostrando que una tubería sencilla ya llega lejos); y dos actúan sobre el MODELO o el cómputo (Agentar-Scale-SQL gastando cómputo al responder, CodeS entrenando uno propio). Hay además un eje transversal que conviene mirar antes de copiar ninguna de las nueve: CUATRO exigen entrenar un modelo —Knowledge-to-SQL el suyo auxiliar, BASE-SQL el enlace de esquema y el generador, CodeS el generador entero por preentrenamiento y Agentar-Scale-SQL por refuerzo—, mientras que las otras cinco funcionan sobre modelos de estantería. Este trabajo se sitúa en la primera familia y en el </w:t>
      </w:r>
      <w:r>
        <w:t>segundo grupo: el significado vive en los valores, y no se entrena nada —lo que abarata la réplica y renuncia a la ganancia que los cuatro primeros obtienen—. Aporta, además, dos cosas que las nueve dan por resueltas: qué normalización hace falta antes de embeber un texto corto y abreviado, y qué papel debe tener lo recuperado en la generación, que resultó importar más que su calidad.</w:t>
      </w:r>
    </w:p>
    <w:p w:rsidR="0083408C" w:rsidRDefault="00000000">
      <w:pPr>
        <w:pStyle w:val="Heading2"/>
        <w:spacing w:before="160" w:after="40"/>
        <w:jc w:val="left"/>
      </w:pPr>
      <w:r>
        <w:rPr>
          <w:rFonts w:ascii="Times New Roman" w:hAnsi="Times New Roman"/>
          <w:b w:val="0"/>
          <w:i/>
          <w:sz w:val="20"/>
        </w:rPr>
        <w:t>D.  Qué modelo genera el SQL</w:t>
      </w:r>
    </w:p>
    <w:p w:rsidR="0083408C" w:rsidRDefault="00000000">
      <w:r>
        <w:t xml:space="preserve">La elección del modelo generador se trata a menudo como una preferencia; aquí se trata como una decisión con evidencia. El single-model track de BIRD [14] publica execution accuracy de modelos base sin pipeline alrededor —misma tarea y misma métrica que este trabajo— y ordena las familias disponibles así: Qwen 68,14 %, GLM 62,94 %, DeepSeek 60,93 % y Kimi 59,87 %. Ese ranking sirve para preseleccionar candidatos, no para decidir: mide otro dominio, </w:t>
      </w:r>
      <w:r>
        <w:lastRenderedPageBreak/>
        <w:t>otro idioma y otra generación de modelos. Hay además una tercera vía, la de CodeS [13], que especializa modelos abiertos de 1B a 15B por preentrenamiento incremental sobre corpus de SQL en lugar de elegir entre generalistas; queda fuera de este trabajo porque exige entrenar, pero es la alternativa natural si el coste por consulta llegara a mandar. La sección VI-F contrasta la preselección con la medición propia.</w:t>
      </w:r>
    </w:p>
    <w:p w:rsidR="0083408C" w:rsidRDefault="00000000">
      <w:pPr>
        <w:pStyle w:val="Heading2"/>
        <w:spacing w:before="160" w:after="40"/>
        <w:jc w:val="left"/>
      </w:pPr>
      <w:r>
        <w:rPr>
          <w:rFonts w:ascii="Times New Roman" w:hAnsi="Times New Roman"/>
          <w:b w:val="0"/>
          <w:i/>
          <w:sz w:val="20"/>
        </w:rPr>
        <w:t>E.  Embeddings multilingües y el estándar del dominio</w:t>
      </w:r>
    </w:p>
    <w:p w:rsidR="0083408C" w:rsidRDefault="00000000">
      <w:r>
        <w:t xml:space="preserve">La recuperación aumentada se emplea en la forma que fijaron Lewis et al. [15] —recuperar fragmentos e inyectarlos en el prompt—, pero sobre corpus de textos muy cortos, que es donde el coseno pierde poder discriminante. El modelo de embeddings es multilingual-e5-small [16]: multilingüe, local y pequeño, con sus prefijos </w:t>
      </w:r>
      <w:r>
        <w:rPr>
          <w:i/>
        </w:rPr>
        <w:t xml:space="preserve">query: </w:t>
      </w:r>
      <w:r>
        <w:t xml:space="preserve"> y </w:t>
      </w:r>
      <w:r>
        <w:rPr>
          <w:i/>
        </w:rPr>
        <w:t xml:space="preserve">passage: </w:t>
      </w:r>
      <w:r>
        <w:t>. Dos propiedades observadas condicionan el diseño (sección V-G): la compresión del rango de similitudes, que invalida un umbral absoluto, y la insensibilidad a diferencias de un dígito, que obliga a una señal léxica para los códigos citados por su número. El vocabulario contable de referencia es el Plan Contable General Empresarial [18] y los formatos de origen están especificados por la SUNAT [19].</w:t>
      </w:r>
    </w:p>
    <w:p w:rsidR="0083408C" w:rsidRDefault="00000000">
      <w:pPr>
        <w:pStyle w:val="Heading1"/>
        <w:spacing w:before="200" w:after="80"/>
        <w:jc w:val="center"/>
      </w:pPr>
      <w:r>
        <w:rPr>
          <w:rFonts w:ascii="Times New Roman" w:hAnsi="Times New Roman"/>
          <w:smallCaps/>
          <w:sz w:val="20"/>
        </w:rPr>
        <w:t>IV.  Objetivos de la investigación</w:t>
      </w:r>
    </w:p>
    <w:p w:rsidR="0083408C" w:rsidRDefault="00000000">
      <w:pPr>
        <w:pStyle w:val="Heading2"/>
        <w:spacing w:before="160" w:after="40"/>
        <w:jc w:val="left"/>
      </w:pPr>
      <w:r>
        <w:rPr>
          <w:rFonts w:ascii="Times New Roman" w:hAnsi="Times New Roman"/>
          <w:b w:val="0"/>
          <w:i/>
          <w:sz w:val="20"/>
        </w:rPr>
        <w:t>A.  Objetivo general</w:t>
      </w:r>
    </w:p>
    <w:p w:rsidR="0083408C" w:rsidRDefault="00000000">
      <w:r>
        <w:t>Construir y evaluar un agente que responda preguntas en español sobre los datos contables SUNAT de la empresa, generando SQL validado, ejecutándolo sobre la base analítica y redactando la respuesta, con una precisión medida de forma reproducible mediante execution accuracy.</w:t>
      </w:r>
    </w:p>
    <w:p w:rsidR="0083408C" w:rsidRDefault="00000000">
      <w:pPr>
        <w:pStyle w:val="Heading2"/>
        <w:spacing w:before="160" w:after="40"/>
        <w:jc w:val="left"/>
      </w:pPr>
      <w:r>
        <w:rPr>
          <w:rFonts w:ascii="Times New Roman" w:hAnsi="Times New Roman"/>
          <w:b w:val="0"/>
          <w:i/>
          <w:sz w:val="20"/>
        </w:rPr>
        <w:t>B.  Objetivos específicos</w:t>
      </w:r>
    </w:p>
    <w:p w:rsidR="0083408C" w:rsidRDefault="00000000">
      <w:pPr>
        <w:pStyle w:val="ListNumber"/>
      </w:pPr>
      <w:r>
        <w:t>Determinar, mediante ablaciones controladas, qué aporta la recuperación aumentada en un dominio donde el significado vive en los valores: sobre qué corpus recuperar, cómo normalizar el texto antes de embeberlo y en qué papel debe entrar lo recuperado en la generación.</w:t>
      </w:r>
    </w:p>
    <w:p w:rsidR="0083408C" w:rsidRDefault="00000000">
      <w:pPr>
        <w:pStyle w:val="ListNumber"/>
      </w:pPr>
      <w:r>
        <w:t xml:space="preserve">Construir un pipeline de ingesta reproducible e idempotente sobre las fuentes SUNAT reales, y cerrar la </w:t>
      </w:r>
      <w:r>
        <w:t>distancia léxica entre la pregunta y el texto de las glosas con normalización específica del dominio.</w:t>
      </w:r>
    </w:p>
    <w:p w:rsidR="0083408C" w:rsidRDefault="00000000">
      <w:pPr>
        <w:pStyle w:val="ListNumber"/>
      </w:pPr>
      <w:r>
        <w:t>Resolver el value linking de las cuentas contables con un diccionario del plan contable verificado contra los datos de la empresa, no solo contra el estándar público.</w:t>
      </w:r>
    </w:p>
    <w:p w:rsidR="0083408C" w:rsidRDefault="00000000">
      <w:pPr>
        <w:pStyle w:val="ListNumber"/>
      </w:pPr>
      <w:r>
        <w:t>Seleccionar el modelo generador de SQL con una medición propia bajo condiciones idénticas, en lugar de heredarlo de un ranking público.</w:t>
      </w:r>
    </w:p>
    <w:p w:rsidR="0083408C" w:rsidRDefault="00000000">
      <w:pPr>
        <w:pStyle w:val="ListNumber"/>
      </w:pPr>
      <w:r>
        <w:t>Establecer un instrumento de evaluación válido, y diagnosticar sus fallos de validez cuando los tenga.</w:t>
      </w:r>
    </w:p>
    <w:p w:rsidR="0083408C" w:rsidRDefault="00000000">
      <w:pPr>
        <w:pStyle w:val="Heading2"/>
        <w:spacing w:before="160" w:after="40"/>
        <w:jc w:val="left"/>
      </w:pPr>
      <w:r>
        <w:rPr>
          <w:rFonts w:ascii="Times New Roman" w:hAnsi="Times New Roman"/>
          <w:b w:val="0"/>
          <w:i/>
          <w:sz w:val="20"/>
        </w:rPr>
        <w:t>C.  Contribuciones</w:t>
      </w:r>
    </w:p>
    <w:p w:rsidR="0083408C" w:rsidRDefault="00000000">
      <w:r>
        <w:t>Un pipeline ETL idempotente sobre seis fuentes SUNAT reales y un agente text-to-SQL cuya garantía de solo lectura la da el análisis sintáctico y no el prompt; una normalización de glosas específica del dominio con un hallazgo medido —la envoltura interrogativa debe retirarse solo del lado de la consulta—; un diccionario del plan contable verificado contra los datos de la empresa, que resultó mejor fuente que el estándar público; y un harness con 76 pares pregunta→SQL sobre el que se corrieron tres campañas: ablación de los recuperadores, auditoría de golds con refactor del esquema contable, y selección de modelo. Las secciones V y VI las desarrollan y las miden.</w:t>
      </w:r>
    </w:p>
    <w:p w:rsidR="0083408C" w:rsidRDefault="00000000">
      <w:pPr>
        <w:pStyle w:val="Heading1"/>
        <w:spacing w:before="200" w:after="80"/>
        <w:jc w:val="center"/>
      </w:pPr>
      <w:r>
        <w:rPr>
          <w:rFonts w:ascii="Times New Roman" w:hAnsi="Times New Roman"/>
          <w:smallCaps/>
          <w:sz w:val="20"/>
        </w:rPr>
        <w:t>V.  Metodología</w:t>
      </w:r>
    </w:p>
    <w:p w:rsidR="0083408C" w:rsidRDefault="00000000">
      <w:pPr>
        <w:pStyle w:val="Heading2"/>
        <w:spacing w:before="160" w:after="40"/>
        <w:jc w:val="left"/>
      </w:pPr>
      <w:r>
        <w:rPr>
          <w:rFonts w:ascii="Times New Roman" w:hAnsi="Times New Roman"/>
          <w:b w:val="0"/>
          <w:i/>
          <w:sz w:val="20"/>
        </w:rPr>
        <w:t>A.  Datos: origen y estructura del dataset</w:t>
      </w:r>
    </w:p>
    <w:p w:rsidR="0083408C" w:rsidRDefault="00000000">
      <w:r>
        <w:t>Los datos son los archivos que la empresa entrega a la SUNAT, sin intermediación alguna. El proyecto arrancó con tres fuentes —compras, ventas y libro mayor— consolidadas en tres tablas anchas y denormalizadas a propósito, para que el SQL generado fuese simple y no requiriese JOIN. Al revisar la carpeta de origen aparecieron tres fuentes más sin usar: el plan contable declarado mes a mes —3.395 códigos con su denominación real, que es lo que permite responder con el nombre que les da la empresa—, el libro diario (el asiento en orden de registro, del que el mayor es la misma realidad reordenada por cuenta) y la propuesta del registro de compras. Con ellas el esquema pasó a seis tablas de hechos y seis dimensiones: doce tablas y 469.567 filas.</w:t>
      </w:r>
    </w:p>
    <w:p w:rsidR="0083408C" w:rsidRDefault="0083408C">
      <w:pPr>
        <w:sectPr w:rsidR="0083408C">
          <w:type w:val="continuous"/>
          <w:pgSz w:w="12240" w:h="15840"/>
          <w:pgMar w:top="1009" w:right="935" w:bottom="1009" w:left="935" w:header="720" w:footer="720" w:gutter="0"/>
          <w:cols w:num="2" w:space="288"/>
          <w:docGrid w:linePitch="360"/>
        </w:sectPr>
      </w:pPr>
    </w:p>
    <w:p w:rsidR="0083408C" w:rsidRDefault="00000000">
      <w:pPr>
        <w:keepNext/>
        <w:spacing w:before="120" w:after="40"/>
        <w:jc w:val="center"/>
      </w:pPr>
      <w:r>
        <w:rPr>
          <w:noProof/>
        </w:rPr>
        <w:lastRenderedPageBreak/>
        <w:drawing>
          <wp:inline distT="0" distB="0" distL="0" distR="0">
            <wp:extent cx="5544000" cy="302861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esquema.png"/>
                    <pic:cNvPicPr/>
                  </pic:nvPicPr>
                  <pic:blipFill>
                    <a:blip r:embed="rId9"/>
                    <a:stretch>
                      <a:fillRect/>
                    </a:stretch>
                  </pic:blipFill>
                  <pic:spPr>
                    <a:xfrm>
                      <a:off x="0" y="0"/>
                      <a:ext cx="5544000" cy="3028617"/>
                    </a:xfrm>
                    <a:prstGeom prst="rect">
                      <a:avLst/>
                    </a:prstGeom>
                  </pic:spPr>
                </pic:pic>
              </a:graphicData>
            </a:graphic>
          </wp:inline>
        </w:drawing>
      </w:r>
    </w:p>
    <w:p w:rsidR="0083408C" w:rsidRDefault="00000000">
      <w:pPr>
        <w:spacing w:after="160"/>
        <w:jc w:val="center"/>
      </w:pPr>
      <w:r>
        <w:rPr>
          <w:i/>
          <w:color w:val="606060"/>
          <w:sz w:val="16"/>
        </w:rPr>
        <w:t>Fig. 1. Las doce tablas: seis hechos ingeridos de archivos y seis dimensiones derivadas de ellos. Cada caja lleva su conteo de filas y las columnas por las que se une; las dos aristas azules marcan los pares que describen el mismo hecho y que NO deben sumarse ni cruzarse.</w:t>
      </w:r>
    </w:p>
    <w:p w:rsidR="0083408C" w:rsidRDefault="00000000">
      <w:pPr>
        <w:keepNext/>
        <w:spacing w:before="160" w:after="40"/>
        <w:jc w:val="left"/>
      </w:pPr>
      <w:r>
        <w:rPr>
          <w:b/>
          <w:sz w:val="16"/>
        </w:rPr>
        <w:t>Tabla 2. Las doce tablas de la base analítica</w:t>
      </w:r>
    </w:p>
    <w:tbl>
      <w:tblPr>
        <w:tblStyle w:val="TableGrid"/>
        <w:tblW w:w="0" w:type="auto"/>
        <w:tblLook w:val="04A0" w:firstRow="1" w:lastRow="0" w:firstColumn="1" w:lastColumn="0" w:noHBand="0" w:noVBand="1"/>
      </w:tblPr>
      <w:tblGrid>
        <w:gridCol w:w="2074"/>
        <w:gridCol w:w="2074"/>
        <w:gridCol w:w="2074"/>
        <w:gridCol w:w="2074"/>
        <w:gridCol w:w="2074"/>
      </w:tblGrid>
      <w:tr w:rsidR="0083408C">
        <w:trPr>
          <w:tblHeader/>
        </w:trPr>
        <w:tc>
          <w:tcPr>
            <w:tcW w:w="2074" w:type="dxa"/>
            <w:shd w:val="clear" w:color="auto" w:fill="1F3864"/>
          </w:tcPr>
          <w:p w:rsidR="0083408C" w:rsidRDefault="00000000">
            <w:pPr>
              <w:spacing w:after="0"/>
              <w:jc w:val="left"/>
            </w:pPr>
            <w:r>
              <w:rPr>
                <w:b/>
                <w:color w:val="FFFFFF"/>
                <w:sz w:val="15"/>
              </w:rPr>
              <w:t>Tabla</w:t>
            </w:r>
          </w:p>
        </w:tc>
        <w:tc>
          <w:tcPr>
            <w:tcW w:w="2074" w:type="dxa"/>
            <w:shd w:val="clear" w:color="auto" w:fill="1F3864"/>
          </w:tcPr>
          <w:p w:rsidR="0083408C" w:rsidRDefault="00000000">
            <w:pPr>
              <w:spacing w:after="0"/>
              <w:jc w:val="left"/>
            </w:pPr>
            <w:r>
              <w:rPr>
                <w:b/>
                <w:color w:val="FFFFFF"/>
                <w:sz w:val="15"/>
              </w:rPr>
              <w:t>Grano</w:t>
            </w:r>
          </w:p>
        </w:tc>
        <w:tc>
          <w:tcPr>
            <w:tcW w:w="2074" w:type="dxa"/>
            <w:shd w:val="clear" w:color="auto" w:fill="1F3864"/>
          </w:tcPr>
          <w:p w:rsidR="0083408C" w:rsidRDefault="00000000">
            <w:pPr>
              <w:spacing w:after="0"/>
              <w:jc w:val="left"/>
            </w:pPr>
            <w:r>
              <w:rPr>
                <w:b/>
                <w:color w:val="FFFFFF"/>
                <w:sz w:val="15"/>
              </w:rPr>
              <w:t>Fuente</w:t>
            </w:r>
          </w:p>
        </w:tc>
        <w:tc>
          <w:tcPr>
            <w:tcW w:w="2074" w:type="dxa"/>
            <w:shd w:val="clear" w:color="auto" w:fill="1F3864"/>
          </w:tcPr>
          <w:p w:rsidR="0083408C" w:rsidRDefault="00000000">
            <w:pPr>
              <w:spacing w:after="0"/>
              <w:jc w:val="left"/>
            </w:pPr>
            <w:r>
              <w:rPr>
                <w:b/>
                <w:color w:val="FFFFFF"/>
                <w:sz w:val="15"/>
              </w:rPr>
              <w:t>Filas</w:t>
            </w:r>
          </w:p>
        </w:tc>
        <w:tc>
          <w:tcPr>
            <w:tcW w:w="2074" w:type="dxa"/>
            <w:shd w:val="clear" w:color="auto" w:fill="1F3864"/>
          </w:tcPr>
          <w:p w:rsidR="0083408C" w:rsidRDefault="00000000">
            <w:pPr>
              <w:spacing w:after="0"/>
              <w:jc w:val="left"/>
            </w:pPr>
            <w:r>
              <w:rPr>
                <w:b/>
                <w:color w:val="FFFFFF"/>
                <w:sz w:val="15"/>
              </w:rPr>
              <w:t>Col.</w:t>
            </w:r>
          </w:p>
        </w:tc>
      </w:tr>
      <w:tr w:rsidR="0083408C">
        <w:trPr>
          <w:cantSplit/>
        </w:trPr>
        <w:tc>
          <w:tcPr>
            <w:tcW w:w="2074" w:type="dxa"/>
          </w:tcPr>
          <w:p w:rsidR="0083408C" w:rsidRDefault="00000000">
            <w:pPr>
              <w:spacing w:after="0"/>
              <w:jc w:val="left"/>
            </w:pPr>
            <w:r>
              <w:rPr>
                <w:b/>
                <w:sz w:val="15"/>
              </w:rPr>
              <w:t>registro_compras_wide</w:t>
            </w:r>
          </w:p>
        </w:tc>
        <w:tc>
          <w:tcPr>
            <w:tcW w:w="2074" w:type="dxa"/>
          </w:tcPr>
          <w:p w:rsidR="0083408C" w:rsidRDefault="00000000">
            <w:pPr>
              <w:spacing w:after="0"/>
              <w:jc w:val="left"/>
            </w:pPr>
            <w:r>
              <w:rPr>
                <w:sz w:val="15"/>
              </w:rPr>
              <w:t>1 comprobante de compra declarado</w:t>
            </w:r>
          </w:p>
        </w:tc>
        <w:tc>
          <w:tcPr>
            <w:tcW w:w="2074" w:type="dxa"/>
          </w:tcPr>
          <w:p w:rsidR="0083408C" w:rsidRDefault="00000000">
            <w:pPr>
              <w:spacing w:after="0"/>
              <w:jc w:val="left"/>
            </w:pPr>
            <w:r>
              <w:rPr>
                <w:sz w:val="15"/>
              </w:rPr>
              <w:t>SIRE Declaración RCE</w:t>
            </w:r>
          </w:p>
        </w:tc>
        <w:tc>
          <w:tcPr>
            <w:tcW w:w="2074" w:type="dxa"/>
          </w:tcPr>
          <w:p w:rsidR="0083408C" w:rsidRDefault="00000000">
            <w:pPr>
              <w:spacing w:after="0"/>
              <w:jc w:val="left"/>
            </w:pPr>
            <w:r>
              <w:rPr>
                <w:sz w:val="15"/>
              </w:rPr>
              <w:t>8.607</w:t>
            </w:r>
          </w:p>
        </w:tc>
        <w:tc>
          <w:tcPr>
            <w:tcW w:w="2074" w:type="dxa"/>
          </w:tcPr>
          <w:p w:rsidR="0083408C" w:rsidRDefault="00000000">
            <w:pPr>
              <w:spacing w:after="0"/>
              <w:jc w:val="left"/>
            </w:pPr>
            <w:r>
              <w:rPr>
                <w:sz w:val="15"/>
              </w:rPr>
              <w:t>21</w:t>
            </w:r>
          </w:p>
        </w:tc>
      </w:tr>
      <w:tr w:rsidR="0083408C">
        <w:trPr>
          <w:cantSplit/>
        </w:trPr>
        <w:tc>
          <w:tcPr>
            <w:tcW w:w="2074" w:type="dxa"/>
            <w:shd w:val="clear" w:color="auto" w:fill="F2F4F8"/>
          </w:tcPr>
          <w:p w:rsidR="0083408C" w:rsidRDefault="00000000">
            <w:pPr>
              <w:spacing w:after="0"/>
              <w:jc w:val="left"/>
            </w:pPr>
            <w:r>
              <w:rPr>
                <w:b/>
                <w:sz w:val="15"/>
              </w:rPr>
              <w:t>registro_compras_propuesta</w:t>
            </w:r>
          </w:p>
        </w:tc>
        <w:tc>
          <w:tcPr>
            <w:tcW w:w="2074" w:type="dxa"/>
            <w:shd w:val="clear" w:color="auto" w:fill="F2F4F8"/>
          </w:tcPr>
          <w:p w:rsidR="0083408C" w:rsidRDefault="00000000">
            <w:pPr>
              <w:spacing w:after="0"/>
              <w:jc w:val="left"/>
            </w:pPr>
            <w:r>
              <w:rPr>
                <w:sz w:val="15"/>
              </w:rPr>
              <w:t>1 comprobante que SUNAT propone</w:t>
            </w:r>
          </w:p>
        </w:tc>
        <w:tc>
          <w:tcPr>
            <w:tcW w:w="2074" w:type="dxa"/>
            <w:shd w:val="clear" w:color="auto" w:fill="F2F4F8"/>
          </w:tcPr>
          <w:p w:rsidR="0083408C" w:rsidRDefault="00000000">
            <w:pPr>
              <w:spacing w:after="0"/>
              <w:jc w:val="left"/>
            </w:pPr>
            <w:r>
              <w:rPr>
                <w:sz w:val="15"/>
              </w:rPr>
              <w:t>SIRE Propuesta RCE</w:t>
            </w:r>
          </w:p>
        </w:tc>
        <w:tc>
          <w:tcPr>
            <w:tcW w:w="2074" w:type="dxa"/>
            <w:shd w:val="clear" w:color="auto" w:fill="F2F4F8"/>
          </w:tcPr>
          <w:p w:rsidR="0083408C" w:rsidRDefault="00000000">
            <w:pPr>
              <w:spacing w:after="0"/>
              <w:jc w:val="left"/>
            </w:pPr>
            <w:r>
              <w:rPr>
                <w:sz w:val="15"/>
              </w:rPr>
              <w:t>8.739</w:t>
            </w:r>
          </w:p>
        </w:tc>
        <w:tc>
          <w:tcPr>
            <w:tcW w:w="2074" w:type="dxa"/>
            <w:shd w:val="clear" w:color="auto" w:fill="F2F4F8"/>
          </w:tcPr>
          <w:p w:rsidR="0083408C" w:rsidRDefault="00000000">
            <w:pPr>
              <w:spacing w:after="0"/>
              <w:jc w:val="left"/>
            </w:pPr>
            <w:r>
              <w:rPr>
                <w:sz w:val="15"/>
              </w:rPr>
              <w:t>24</w:t>
            </w:r>
          </w:p>
        </w:tc>
      </w:tr>
      <w:tr w:rsidR="0083408C">
        <w:trPr>
          <w:cantSplit/>
        </w:trPr>
        <w:tc>
          <w:tcPr>
            <w:tcW w:w="2074" w:type="dxa"/>
          </w:tcPr>
          <w:p w:rsidR="0083408C" w:rsidRDefault="00000000">
            <w:pPr>
              <w:spacing w:after="0"/>
              <w:jc w:val="left"/>
            </w:pPr>
            <w:r>
              <w:rPr>
                <w:b/>
                <w:sz w:val="15"/>
              </w:rPr>
              <w:t>registro_ventas_wide</w:t>
            </w:r>
          </w:p>
        </w:tc>
        <w:tc>
          <w:tcPr>
            <w:tcW w:w="2074" w:type="dxa"/>
          </w:tcPr>
          <w:p w:rsidR="0083408C" w:rsidRDefault="00000000">
            <w:pPr>
              <w:spacing w:after="0"/>
              <w:jc w:val="left"/>
            </w:pPr>
            <w:r>
              <w:rPr>
                <w:sz w:val="15"/>
              </w:rPr>
              <w:t>1 comprobante de venta</w:t>
            </w:r>
          </w:p>
        </w:tc>
        <w:tc>
          <w:tcPr>
            <w:tcW w:w="2074" w:type="dxa"/>
          </w:tcPr>
          <w:p w:rsidR="0083408C" w:rsidRDefault="00000000">
            <w:pPr>
              <w:spacing w:after="0"/>
              <w:jc w:val="left"/>
            </w:pPr>
            <w:r>
              <w:rPr>
                <w:sz w:val="15"/>
              </w:rPr>
              <w:t>SIRE Propuesta RVIE</w:t>
            </w:r>
          </w:p>
        </w:tc>
        <w:tc>
          <w:tcPr>
            <w:tcW w:w="2074" w:type="dxa"/>
          </w:tcPr>
          <w:p w:rsidR="0083408C" w:rsidRDefault="00000000">
            <w:pPr>
              <w:spacing w:after="0"/>
              <w:jc w:val="left"/>
            </w:pPr>
            <w:r>
              <w:rPr>
                <w:sz w:val="15"/>
              </w:rPr>
              <w:t>1.063</w:t>
            </w:r>
          </w:p>
        </w:tc>
        <w:tc>
          <w:tcPr>
            <w:tcW w:w="2074" w:type="dxa"/>
          </w:tcPr>
          <w:p w:rsidR="0083408C" w:rsidRDefault="00000000">
            <w:pPr>
              <w:spacing w:after="0"/>
              <w:jc w:val="left"/>
            </w:pPr>
            <w:r>
              <w:rPr>
                <w:sz w:val="15"/>
              </w:rPr>
              <w:t>28</w:t>
            </w:r>
          </w:p>
        </w:tc>
      </w:tr>
      <w:tr w:rsidR="0083408C">
        <w:trPr>
          <w:cantSplit/>
        </w:trPr>
        <w:tc>
          <w:tcPr>
            <w:tcW w:w="2074" w:type="dxa"/>
            <w:shd w:val="clear" w:color="auto" w:fill="F2F4F8"/>
          </w:tcPr>
          <w:p w:rsidR="0083408C" w:rsidRDefault="00000000">
            <w:pPr>
              <w:spacing w:after="0"/>
              <w:jc w:val="left"/>
            </w:pPr>
            <w:r>
              <w:rPr>
                <w:b/>
                <w:sz w:val="15"/>
              </w:rPr>
              <w:t>libro_mayor_wide</w:t>
            </w:r>
          </w:p>
        </w:tc>
        <w:tc>
          <w:tcPr>
            <w:tcW w:w="2074" w:type="dxa"/>
            <w:shd w:val="clear" w:color="auto" w:fill="F2F4F8"/>
          </w:tcPr>
          <w:p w:rsidR="0083408C" w:rsidRDefault="00000000">
            <w:pPr>
              <w:spacing w:after="0"/>
              <w:jc w:val="left"/>
            </w:pPr>
            <w:r>
              <w:rPr>
                <w:sz w:val="15"/>
              </w:rPr>
              <w:t>1 movimiento contable consolidado</w:t>
            </w:r>
          </w:p>
        </w:tc>
        <w:tc>
          <w:tcPr>
            <w:tcW w:w="2074" w:type="dxa"/>
            <w:shd w:val="clear" w:color="auto" w:fill="F2F4F8"/>
          </w:tcPr>
          <w:p w:rsidR="0083408C" w:rsidRDefault="00000000">
            <w:pPr>
              <w:spacing w:after="0"/>
              <w:jc w:val="left"/>
            </w:pPr>
            <w:r>
              <w:rPr>
                <w:sz w:val="15"/>
              </w:rPr>
              <w:t>PLE Libro Mayor 6.1</w:t>
            </w:r>
          </w:p>
        </w:tc>
        <w:tc>
          <w:tcPr>
            <w:tcW w:w="2074" w:type="dxa"/>
            <w:shd w:val="clear" w:color="auto" w:fill="F2F4F8"/>
          </w:tcPr>
          <w:p w:rsidR="0083408C" w:rsidRDefault="00000000">
            <w:pPr>
              <w:spacing w:after="0"/>
              <w:jc w:val="left"/>
            </w:pPr>
            <w:r>
              <w:rPr>
                <w:sz w:val="15"/>
              </w:rPr>
              <w:t>134.413</w:t>
            </w:r>
          </w:p>
        </w:tc>
        <w:tc>
          <w:tcPr>
            <w:tcW w:w="2074" w:type="dxa"/>
            <w:shd w:val="clear" w:color="auto" w:fill="F2F4F8"/>
          </w:tcPr>
          <w:p w:rsidR="0083408C" w:rsidRDefault="00000000">
            <w:pPr>
              <w:spacing w:after="0"/>
              <w:jc w:val="left"/>
            </w:pPr>
            <w:r>
              <w:rPr>
                <w:sz w:val="15"/>
              </w:rPr>
              <w:t>13</w:t>
            </w:r>
          </w:p>
        </w:tc>
      </w:tr>
      <w:tr w:rsidR="0083408C">
        <w:trPr>
          <w:cantSplit/>
        </w:trPr>
        <w:tc>
          <w:tcPr>
            <w:tcW w:w="2074" w:type="dxa"/>
          </w:tcPr>
          <w:p w:rsidR="0083408C" w:rsidRDefault="00000000">
            <w:pPr>
              <w:spacing w:after="0"/>
              <w:jc w:val="left"/>
            </w:pPr>
            <w:r>
              <w:rPr>
                <w:b/>
                <w:sz w:val="15"/>
              </w:rPr>
              <w:t>libro_diario_wide</w:t>
            </w:r>
          </w:p>
        </w:tc>
        <w:tc>
          <w:tcPr>
            <w:tcW w:w="2074" w:type="dxa"/>
          </w:tcPr>
          <w:p w:rsidR="0083408C" w:rsidRDefault="00000000">
            <w:pPr>
              <w:spacing w:after="0"/>
              <w:jc w:val="left"/>
            </w:pPr>
            <w:r>
              <w:rPr>
                <w:sz w:val="15"/>
              </w:rPr>
              <w:t>1 línea de asiento, en orden de registro</w:t>
            </w:r>
          </w:p>
        </w:tc>
        <w:tc>
          <w:tcPr>
            <w:tcW w:w="2074" w:type="dxa"/>
          </w:tcPr>
          <w:p w:rsidR="0083408C" w:rsidRDefault="00000000">
            <w:pPr>
              <w:spacing w:after="0"/>
              <w:jc w:val="left"/>
            </w:pPr>
            <w:r>
              <w:rPr>
                <w:sz w:val="15"/>
              </w:rPr>
              <w:t>Reporte Libro Diario 5.1</w:t>
            </w:r>
          </w:p>
        </w:tc>
        <w:tc>
          <w:tcPr>
            <w:tcW w:w="2074" w:type="dxa"/>
          </w:tcPr>
          <w:p w:rsidR="0083408C" w:rsidRDefault="00000000">
            <w:pPr>
              <w:spacing w:after="0"/>
              <w:jc w:val="left"/>
            </w:pPr>
            <w:r>
              <w:rPr>
                <w:sz w:val="15"/>
              </w:rPr>
              <w:t>169.838</w:t>
            </w:r>
          </w:p>
        </w:tc>
        <w:tc>
          <w:tcPr>
            <w:tcW w:w="2074" w:type="dxa"/>
          </w:tcPr>
          <w:p w:rsidR="0083408C" w:rsidRDefault="00000000">
            <w:pPr>
              <w:spacing w:after="0"/>
              <w:jc w:val="left"/>
            </w:pPr>
            <w:r>
              <w:rPr>
                <w:sz w:val="15"/>
              </w:rPr>
              <w:t>13</w:t>
            </w:r>
          </w:p>
        </w:tc>
      </w:tr>
      <w:tr w:rsidR="0083408C">
        <w:trPr>
          <w:cantSplit/>
        </w:trPr>
        <w:tc>
          <w:tcPr>
            <w:tcW w:w="2074" w:type="dxa"/>
            <w:shd w:val="clear" w:color="auto" w:fill="F2F4F8"/>
          </w:tcPr>
          <w:p w:rsidR="0083408C" w:rsidRDefault="00000000">
            <w:pPr>
              <w:spacing w:after="0"/>
              <w:jc w:val="left"/>
            </w:pPr>
            <w:r>
              <w:rPr>
                <w:b/>
                <w:sz w:val="15"/>
              </w:rPr>
              <w:t>plan_contable_wide</w:t>
            </w:r>
          </w:p>
        </w:tc>
        <w:tc>
          <w:tcPr>
            <w:tcW w:w="2074" w:type="dxa"/>
            <w:shd w:val="clear" w:color="auto" w:fill="F2F4F8"/>
          </w:tcPr>
          <w:p w:rsidR="0083408C" w:rsidRDefault="00000000">
            <w:pPr>
              <w:spacing w:after="0"/>
              <w:jc w:val="left"/>
            </w:pPr>
            <w:r>
              <w:rPr>
                <w:sz w:val="15"/>
              </w:rPr>
              <w:t>1 cuenta × período</w:t>
            </w:r>
          </w:p>
        </w:tc>
        <w:tc>
          <w:tcPr>
            <w:tcW w:w="2074" w:type="dxa"/>
            <w:shd w:val="clear" w:color="auto" w:fill="F2F4F8"/>
          </w:tcPr>
          <w:p w:rsidR="0083408C" w:rsidRDefault="00000000">
            <w:pPr>
              <w:spacing w:after="0"/>
              <w:jc w:val="left"/>
            </w:pPr>
            <w:r>
              <w:rPr>
                <w:sz w:val="15"/>
              </w:rPr>
              <w:t>PLE Libro Diario 5.3</w:t>
            </w:r>
          </w:p>
        </w:tc>
        <w:tc>
          <w:tcPr>
            <w:tcW w:w="2074" w:type="dxa"/>
            <w:shd w:val="clear" w:color="auto" w:fill="F2F4F8"/>
          </w:tcPr>
          <w:p w:rsidR="0083408C" w:rsidRDefault="00000000">
            <w:pPr>
              <w:spacing w:after="0"/>
              <w:jc w:val="left"/>
            </w:pPr>
            <w:r>
              <w:rPr>
                <w:sz w:val="15"/>
              </w:rPr>
              <w:t>142.590</w:t>
            </w:r>
          </w:p>
        </w:tc>
        <w:tc>
          <w:tcPr>
            <w:tcW w:w="2074" w:type="dxa"/>
            <w:shd w:val="clear" w:color="auto" w:fill="F2F4F8"/>
          </w:tcPr>
          <w:p w:rsidR="0083408C" w:rsidRDefault="00000000">
            <w:pPr>
              <w:spacing w:after="0"/>
              <w:jc w:val="left"/>
            </w:pPr>
            <w:r>
              <w:rPr>
                <w:sz w:val="15"/>
              </w:rPr>
              <w:t>6</w:t>
            </w:r>
          </w:p>
        </w:tc>
      </w:tr>
      <w:tr w:rsidR="0083408C">
        <w:trPr>
          <w:cantSplit/>
        </w:trPr>
        <w:tc>
          <w:tcPr>
            <w:tcW w:w="2074" w:type="dxa"/>
          </w:tcPr>
          <w:p w:rsidR="0083408C" w:rsidRDefault="00000000">
            <w:pPr>
              <w:spacing w:after="0"/>
              <w:jc w:val="left"/>
            </w:pPr>
            <w:r>
              <w:rPr>
                <w:b/>
                <w:sz w:val="15"/>
              </w:rPr>
              <w:t>plan_cuentas</w:t>
            </w:r>
          </w:p>
        </w:tc>
        <w:tc>
          <w:tcPr>
            <w:tcW w:w="2074" w:type="dxa"/>
          </w:tcPr>
          <w:p w:rsidR="0083408C" w:rsidRDefault="00000000">
            <w:pPr>
              <w:spacing w:after="0"/>
              <w:jc w:val="left"/>
            </w:pPr>
            <w:r>
              <w:rPr>
                <w:sz w:val="15"/>
              </w:rPr>
              <w:t>1 cuenta del plan de la empresa</w:t>
            </w:r>
          </w:p>
        </w:tc>
        <w:tc>
          <w:tcPr>
            <w:tcW w:w="2074" w:type="dxa"/>
          </w:tcPr>
          <w:p w:rsidR="0083408C" w:rsidRDefault="00000000">
            <w:pPr>
              <w:spacing w:after="0"/>
              <w:jc w:val="left"/>
            </w:pPr>
            <w:r>
              <w:rPr>
                <w:sz w:val="15"/>
              </w:rPr>
              <w:t>derivada de plan_contable_wide</w:t>
            </w:r>
          </w:p>
        </w:tc>
        <w:tc>
          <w:tcPr>
            <w:tcW w:w="2074" w:type="dxa"/>
          </w:tcPr>
          <w:p w:rsidR="0083408C" w:rsidRDefault="00000000">
            <w:pPr>
              <w:spacing w:after="0"/>
              <w:jc w:val="left"/>
            </w:pPr>
            <w:r>
              <w:rPr>
                <w:sz w:val="15"/>
              </w:rPr>
              <w:t>3.395</w:t>
            </w:r>
          </w:p>
        </w:tc>
        <w:tc>
          <w:tcPr>
            <w:tcW w:w="2074" w:type="dxa"/>
          </w:tcPr>
          <w:p w:rsidR="0083408C" w:rsidRDefault="00000000">
            <w:pPr>
              <w:spacing w:after="0"/>
              <w:jc w:val="left"/>
            </w:pPr>
            <w:r>
              <w:rPr>
                <w:sz w:val="15"/>
              </w:rPr>
              <w:t>8</w:t>
            </w:r>
          </w:p>
        </w:tc>
      </w:tr>
      <w:tr w:rsidR="0083408C">
        <w:trPr>
          <w:cantSplit/>
        </w:trPr>
        <w:tc>
          <w:tcPr>
            <w:tcW w:w="2074" w:type="dxa"/>
            <w:shd w:val="clear" w:color="auto" w:fill="F2F4F8"/>
          </w:tcPr>
          <w:p w:rsidR="0083408C" w:rsidRDefault="00000000">
            <w:pPr>
              <w:spacing w:after="0"/>
              <w:jc w:val="left"/>
            </w:pPr>
            <w:r>
              <w:rPr>
                <w:b/>
                <w:sz w:val="15"/>
              </w:rPr>
              <w:t>proveedores</w:t>
            </w:r>
          </w:p>
        </w:tc>
        <w:tc>
          <w:tcPr>
            <w:tcW w:w="2074" w:type="dxa"/>
            <w:shd w:val="clear" w:color="auto" w:fill="F2F4F8"/>
          </w:tcPr>
          <w:p w:rsidR="0083408C" w:rsidRDefault="00000000">
            <w:pPr>
              <w:spacing w:after="0"/>
              <w:jc w:val="left"/>
            </w:pPr>
            <w:r>
              <w:rPr>
                <w:sz w:val="15"/>
              </w:rPr>
              <w:t>1 proveedor (documento de identidad)</w:t>
            </w:r>
          </w:p>
        </w:tc>
        <w:tc>
          <w:tcPr>
            <w:tcW w:w="2074" w:type="dxa"/>
            <w:shd w:val="clear" w:color="auto" w:fill="F2F4F8"/>
          </w:tcPr>
          <w:p w:rsidR="0083408C" w:rsidRDefault="00000000">
            <w:pPr>
              <w:spacing w:after="0"/>
              <w:jc w:val="left"/>
            </w:pPr>
            <w:r>
              <w:rPr>
                <w:sz w:val="15"/>
              </w:rPr>
              <w:t>derivada de registro_compras_wide</w:t>
            </w:r>
          </w:p>
        </w:tc>
        <w:tc>
          <w:tcPr>
            <w:tcW w:w="2074" w:type="dxa"/>
            <w:shd w:val="clear" w:color="auto" w:fill="F2F4F8"/>
          </w:tcPr>
          <w:p w:rsidR="0083408C" w:rsidRDefault="00000000">
            <w:pPr>
              <w:spacing w:after="0"/>
              <w:jc w:val="left"/>
            </w:pPr>
            <w:r>
              <w:rPr>
                <w:sz w:val="15"/>
              </w:rPr>
              <w:t>840</w:t>
            </w:r>
          </w:p>
        </w:tc>
        <w:tc>
          <w:tcPr>
            <w:tcW w:w="2074" w:type="dxa"/>
            <w:shd w:val="clear" w:color="auto" w:fill="F2F4F8"/>
          </w:tcPr>
          <w:p w:rsidR="0083408C" w:rsidRDefault="00000000">
            <w:pPr>
              <w:spacing w:after="0"/>
              <w:jc w:val="left"/>
            </w:pPr>
            <w:r>
              <w:rPr>
                <w:sz w:val="15"/>
              </w:rPr>
              <w:t>8</w:t>
            </w:r>
          </w:p>
        </w:tc>
      </w:tr>
      <w:tr w:rsidR="0083408C">
        <w:trPr>
          <w:cantSplit/>
        </w:trPr>
        <w:tc>
          <w:tcPr>
            <w:tcW w:w="2074" w:type="dxa"/>
          </w:tcPr>
          <w:p w:rsidR="0083408C" w:rsidRDefault="00000000">
            <w:pPr>
              <w:spacing w:after="0"/>
              <w:jc w:val="left"/>
            </w:pPr>
            <w:r>
              <w:rPr>
                <w:b/>
                <w:sz w:val="15"/>
              </w:rPr>
              <w:t>clientes</w:t>
            </w:r>
          </w:p>
        </w:tc>
        <w:tc>
          <w:tcPr>
            <w:tcW w:w="2074" w:type="dxa"/>
          </w:tcPr>
          <w:p w:rsidR="0083408C" w:rsidRDefault="00000000">
            <w:pPr>
              <w:spacing w:after="0"/>
              <w:jc w:val="left"/>
            </w:pPr>
            <w:r>
              <w:rPr>
                <w:sz w:val="15"/>
              </w:rPr>
              <w:t>1 cliente (documento de identidad)</w:t>
            </w:r>
          </w:p>
        </w:tc>
        <w:tc>
          <w:tcPr>
            <w:tcW w:w="2074" w:type="dxa"/>
          </w:tcPr>
          <w:p w:rsidR="0083408C" w:rsidRDefault="00000000">
            <w:pPr>
              <w:spacing w:after="0"/>
              <w:jc w:val="left"/>
            </w:pPr>
            <w:r>
              <w:rPr>
                <w:sz w:val="15"/>
              </w:rPr>
              <w:t>derivada de registro_ventas_wide</w:t>
            </w:r>
          </w:p>
        </w:tc>
        <w:tc>
          <w:tcPr>
            <w:tcW w:w="2074" w:type="dxa"/>
          </w:tcPr>
          <w:p w:rsidR="0083408C" w:rsidRDefault="00000000">
            <w:pPr>
              <w:spacing w:after="0"/>
              <w:jc w:val="left"/>
            </w:pPr>
            <w:r>
              <w:rPr>
                <w:sz w:val="15"/>
              </w:rPr>
              <w:t>24</w:t>
            </w:r>
          </w:p>
        </w:tc>
        <w:tc>
          <w:tcPr>
            <w:tcW w:w="2074" w:type="dxa"/>
          </w:tcPr>
          <w:p w:rsidR="0083408C" w:rsidRDefault="00000000">
            <w:pPr>
              <w:spacing w:after="0"/>
              <w:jc w:val="left"/>
            </w:pPr>
            <w:r>
              <w:rPr>
                <w:sz w:val="15"/>
              </w:rPr>
              <w:t>8</w:t>
            </w:r>
          </w:p>
        </w:tc>
      </w:tr>
      <w:tr w:rsidR="0083408C">
        <w:trPr>
          <w:cantSplit/>
        </w:trPr>
        <w:tc>
          <w:tcPr>
            <w:tcW w:w="2074" w:type="dxa"/>
            <w:shd w:val="clear" w:color="auto" w:fill="F2F4F8"/>
          </w:tcPr>
          <w:p w:rsidR="0083408C" w:rsidRDefault="00000000">
            <w:pPr>
              <w:spacing w:after="0"/>
              <w:jc w:val="left"/>
            </w:pPr>
            <w:r>
              <w:rPr>
                <w:b/>
                <w:sz w:val="15"/>
              </w:rPr>
              <w:t>periodos</w:t>
            </w:r>
          </w:p>
        </w:tc>
        <w:tc>
          <w:tcPr>
            <w:tcW w:w="2074" w:type="dxa"/>
            <w:shd w:val="clear" w:color="auto" w:fill="F2F4F8"/>
          </w:tcPr>
          <w:p w:rsidR="0083408C" w:rsidRDefault="00000000">
            <w:pPr>
              <w:spacing w:after="0"/>
              <w:jc w:val="left"/>
            </w:pPr>
            <w:r>
              <w:rPr>
                <w:sz w:val="15"/>
              </w:rPr>
              <w:t>1 período tributario presente en los datos</w:t>
            </w:r>
          </w:p>
        </w:tc>
        <w:tc>
          <w:tcPr>
            <w:tcW w:w="2074" w:type="dxa"/>
            <w:shd w:val="clear" w:color="auto" w:fill="F2F4F8"/>
          </w:tcPr>
          <w:p w:rsidR="0083408C" w:rsidRDefault="00000000">
            <w:pPr>
              <w:spacing w:after="0"/>
              <w:jc w:val="left"/>
            </w:pPr>
            <w:r>
              <w:rPr>
                <w:sz w:val="15"/>
              </w:rPr>
              <w:t>derivada de las tablas de hechos</w:t>
            </w:r>
          </w:p>
        </w:tc>
        <w:tc>
          <w:tcPr>
            <w:tcW w:w="2074" w:type="dxa"/>
            <w:shd w:val="clear" w:color="auto" w:fill="F2F4F8"/>
          </w:tcPr>
          <w:p w:rsidR="0083408C" w:rsidRDefault="00000000">
            <w:pPr>
              <w:spacing w:after="0"/>
              <w:jc w:val="left"/>
            </w:pPr>
            <w:r>
              <w:rPr>
                <w:sz w:val="15"/>
              </w:rPr>
              <w:t>42</w:t>
            </w:r>
          </w:p>
        </w:tc>
        <w:tc>
          <w:tcPr>
            <w:tcW w:w="2074" w:type="dxa"/>
            <w:shd w:val="clear" w:color="auto" w:fill="F2F4F8"/>
          </w:tcPr>
          <w:p w:rsidR="0083408C" w:rsidRDefault="00000000">
            <w:pPr>
              <w:spacing w:after="0"/>
              <w:jc w:val="left"/>
            </w:pPr>
            <w:r>
              <w:rPr>
                <w:sz w:val="15"/>
              </w:rPr>
              <w:t>8</w:t>
            </w:r>
          </w:p>
        </w:tc>
      </w:tr>
      <w:tr w:rsidR="0083408C">
        <w:trPr>
          <w:cantSplit/>
        </w:trPr>
        <w:tc>
          <w:tcPr>
            <w:tcW w:w="2074" w:type="dxa"/>
          </w:tcPr>
          <w:p w:rsidR="0083408C" w:rsidRDefault="00000000">
            <w:pPr>
              <w:spacing w:after="0"/>
              <w:jc w:val="left"/>
            </w:pPr>
            <w:r>
              <w:rPr>
                <w:b/>
                <w:sz w:val="15"/>
              </w:rPr>
              <w:t>tipo_comprobante</w:t>
            </w:r>
          </w:p>
        </w:tc>
        <w:tc>
          <w:tcPr>
            <w:tcW w:w="2074" w:type="dxa"/>
          </w:tcPr>
          <w:p w:rsidR="0083408C" w:rsidRDefault="00000000">
            <w:pPr>
              <w:spacing w:after="0"/>
              <w:jc w:val="left"/>
            </w:pPr>
            <w:r>
              <w:rPr>
                <w:sz w:val="15"/>
              </w:rPr>
              <w:t>1 tipo de comprobante del catálogo SUNAT</w:t>
            </w:r>
          </w:p>
        </w:tc>
        <w:tc>
          <w:tcPr>
            <w:tcW w:w="2074" w:type="dxa"/>
          </w:tcPr>
          <w:p w:rsidR="0083408C" w:rsidRDefault="00000000">
            <w:pPr>
              <w:spacing w:after="0"/>
              <w:jc w:val="left"/>
            </w:pPr>
            <w:r>
              <w:rPr>
                <w:sz w:val="15"/>
              </w:rPr>
              <w:t>derivada + catálogo SUNAT</w:t>
            </w:r>
          </w:p>
        </w:tc>
        <w:tc>
          <w:tcPr>
            <w:tcW w:w="2074" w:type="dxa"/>
          </w:tcPr>
          <w:p w:rsidR="0083408C" w:rsidRDefault="00000000">
            <w:pPr>
              <w:spacing w:after="0"/>
              <w:jc w:val="left"/>
            </w:pPr>
            <w:r>
              <w:rPr>
                <w:sz w:val="15"/>
              </w:rPr>
              <w:t>9</w:t>
            </w:r>
          </w:p>
        </w:tc>
        <w:tc>
          <w:tcPr>
            <w:tcW w:w="2074" w:type="dxa"/>
          </w:tcPr>
          <w:p w:rsidR="0083408C" w:rsidRDefault="00000000">
            <w:pPr>
              <w:spacing w:after="0"/>
              <w:jc w:val="left"/>
            </w:pPr>
            <w:r>
              <w:rPr>
                <w:sz w:val="15"/>
              </w:rPr>
              <w:t>5</w:t>
            </w:r>
          </w:p>
        </w:tc>
      </w:tr>
      <w:tr w:rsidR="0083408C">
        <w:trPr>
          <w:cantSplit/>
        </w:trPr>
        <w:tc>
          <w:tcPr>
            <w:tcW w:w="2074" w:type="dxa"/>
            <w:shd w:val="clear" w:color="auto" w:fill="F2F4F8"/>
          </w:tcPr>
          <w:p w:rsidR="0083408C" w:rsidRDefault="00000000">
            <w:pPr>
              <w:spacing w:after="0"/>
              <w:jc w:val="left"/>
            </w:pPr>
            <w:r>
              <w:rPr>
                <w:b/>
                <w:sz w:val="15"/>
              </w:rPr>
              <w:t>embarcaciones</w:t>
            </w:r>
          </w:p>
        </w:tc>
        <w:tc>
          <w:tcPr>
            <w:tcW w:w="2074" w:type="dxa"/>
            <w:shd w:val="clear" w:color="auto" w:fill="F2F4F8"/>
          </w:tcPr>
          <w:p w:rsidR="0083408C" w:rsidRDefault="00000000">
            <w:pPr>
              <w:spacing w:after="0"/>
              <w:jc w:val="left"/>
            </w:pPr>
            <w:r>
              <w:rPr>
                <w:sz w:val="15"/>
              </w:rPr>
              <w:t>1 embarcación nombrada en las glosas</w:t>
            </w:r>
          </w:p>
        </w:tc>
        <w:tc>
          <w:tcPr>
            <w:tcW w:w="2074" w:type="dxa"/>
            <w:shd w:val="clear" w:color="auto" w:fill="F2F4F8"/>
          </w:tcPr>
          <w:p w:rsidR="0083408C" w:rsidRDefault="00000000">
            <w:pPr>
              <w:spacing w:after="0"/>
              <w:jc w:val="left"/>
            </w:pPr>
            <w:r>
              <w:rPr>
                <w:sz w:val="15"/>
              </w:rPr>
              <w:t>derivada de libro_mayor_wide</w:t>
            </w:r>
          </w:p>
        </w:tc>
        <w:tc>
          <w:tcPr>
            <w:tcW w:w="2074" w:type="dxa"/>
            <w:shd w:val="clear" w:color="auto" w:fill="F2F4F8"/>
          </w:tcPr>
          <w:p w:rsidR="0083408C" w:rsidRDefault="00000000">
            <w:pPr>
              <w:spacing w:after="0"/>
              <w:jc w:val="left"/>
            </w:pPr>
            <w:r>
              <w:rPr>
                <w:sz w:val="15"/>
              </w:rPr>
              <w:t>7</w:t>
            </w:r>
          </w:p>
        </w:tc>
        <w:tc>
          <w:tcPr>
            <w:tcW w:w="2074" w:type="dxa"/>
            <w:shd w:val="clear" w:color="auto" w:fill="F2F4F8"/>
          </w:tcPr>
          <w:p w:rsidR="0083408C" w:rsidRDefault="00000000">
            <w:pPr>
              <w:spacing w:after="0"/>
              <w:jc w:val="left"/>
            </w:pPr>
            <w:r>
              <w:rPr>
                <w:sz w:val="15"/>
              </w:rPr>
              <w:t>8</w:t>
            </w:r>
          </w:p>
        </w:tc>
      </w:tr>
    </w:tbl>
    <w:p w:rsidR="0083408C" w:rsidRDefault="00000000">
      <w:pPr>
        <w:spacing w:before="40" w:after="160"/>
        <w:jc w:val="left"/>
      </w:pPr>
      <w:r>
        <w:rPr>
          <w:i/>
          <w:sz w:val="15"/>
        </w:rPr>
        <w:t>Conteos verificados con DuckDB sobre output/analitica.duckdb; períodos 202301–202606. Total: 469.567 filas y 150 columnas. Las dimensiones no leen archivos: son CREATE OR REPLACE TABLE … AS SELECT sobre las tablas de hechos ya cargadas, de modo que son idempotentes por construcción y no pueden inventar una fila que no esté en los datos.</w:t>
      </w:r>
    </w:p>
    <w:p w:rsidR="0083408C" w:rsidRDefault="0083408C">
      <w:pPr>
        <w:sectPr w:rsidR="0083408C">
          <w:type w:val="continuous"/>
          <w:pgSz w:w="12240" w:h="15840"/>
          <w:pgMar w:top="1009" w:right="935" w:bottom="1009" w:left="935" w:header="720" w:footer="720" w:gutter="0"/>
          <w:cols w:space="288"/>
          <w:docGrid w:linePitch="360"/>
        </w:sectPr>
      </w:pPr>
    </w:p>
    <w:p w:rsidR="0083408C" w:rsidRDefault="00000000">
      <w:r>
        <w:rPr>
          <w:i/>
        </w:rPr>
        <w:t xml:space="preserve">Advertencia sobre las cifras de compras. Durante toda la campaña de ablación la tabla de compras contuvo 9.960 filas y no 8.607: la carpeta de origen incluía seis archivos duplicados —copias </w:t>
      </w:r>
      <w:r>
        <w:t>(1).txt</w:t>
      </w:r>
      <w:r>
        <w:rPr>
          <w:i/>
        </w:rPr>
        <w:t xml:space="preserve"> idénticas byte a byte, verificado por md5— que el ETL ingería. No invalida las ablaciones, porque todas las configuraciones corrieron contra la misma base y la comparación es interna; sí invalida cualquier lectura absoluta de los importes de compra de esos períodos.</w:t>
      </w:r>
    </w:p>
    <w:p w:rsidR="0083408C" w:rsidRDefault="00000000">
      <w:pPr>
        <w:pStyle w:val="Heading2"/>
        <w:spacing w:before="160" w:after="40"/>
        <w:jc w:val="left"/>
      </w:pPr>
      <w:r>
        <w:rPr>
          <w:rFonts w:ascii="Times New Roman" w:hAnsi="Times New Roman"/>
          <w:b w:val="0"/>
          <w:i/>
          <w:sz w:val="20"/>
        </w:rPr>
        <w:t>B.  El esquema ampliado: qué habilita y qué ambigüedades introduce</w:t>
      </w:r>
    </w:p>
    <w:p w:rsidR="0083408C" w:rsidRDefault="00000000">
      <w:r>
        <w:t>Las seis tablas nuevas habilitan clases de pregunta que antes no tenían respuesta posible: la conciliación entre lo declarado y lo propuesto es un JOIN; las cuentas se devuelven con la denominación de la empresa; las agrupaciones por año o trimestre pasan por una dimensión de calendario en vez de ser aritmética sobre un entero AAAAMM; y proveedores, clientes y embarcaciones tienen por fin un maestro al que unirse. El precio es que aparecen ambigüedades que el esquema pequeño no tenía, peligrosas por una razón concreta: no producen un error, producen un número plausible.</w:t>
      </w:r>
    </w:p>
    <w:p w:rsidR="0083408C" w:rsidRDefault="0083408C">
      <w:pPr>
        <w:sectPr w:rsidR="0083408C">
          <w:type w:val="continuous"/>
          <w:pgSz w:w="12240" w:h="15840"/>
          <w:pgMar w:top="1009" w:right="935" w:bottom="1009" w:left="935" w:header="720" w:footer="720" w:gutter="0"/>
          <w:cols w:num="2" w:space="288"/>
          <w:docGrid w:linePitch="360"/>
        </w:sectPr>
      </w:pPr>
    </w:p>
    <w:p w:rsidR="0083408C" w:rsidRDefault="00000000">
      <w:pPr>
        <w:keepNext/>
        <w:spacing w:before="160" w:after="40"/>
        <w:jc w:val="left"/>
      </w:pPr>
      <w:r>
        <w:rPr>
          <w:b/>
          <w:sz w:val="16"/>
        </w:rPr>
        <w:lastRenderedPageBreak/>
        <w:t>Tabla 3. Ambigüedades del esquema ampliado, con su evidencia medida</w:t>
      </w:r>
    </w:p>
    <w:tbl>
      <w:tblPr>
        <w:tblStyle w:val="TableGrid"/>
        <w:tblW w:w="0" w:type="auto"/>
        <w:tblLook w:val="04A0" w:firstRow="1" w:lastRow="0" w:firstColumn="1" w:lastColumn="0" w:noHBand="0" w:noVBand="1"/>
      </w:tblPr>
      <w:tblGrid>
        <w:gridCol w:w="3457"/>
        <w:gridCol w:w="3457"/>
        <w:gridCol w:w="3457"/>
      </w:tblGrid>
      <w:tr w:rsidR="0083408C">
        <w:trPr>
          <w:tblHeader/>
        </w:trPr>
        <w:tc>
          <w:tcPr>
            <w:tcW w:w="3457" w:type="dxa"/>
            <w:shd w:val="clear" w:color="auto" w:fill="1F3864"/>
          </w:tcPr>
          <w:p w:rsidR="0083408C" w:rsidRDefault="00000000">
            <w:pPr>
              <w:spacing w:after="0"/>
              <w:jc w:val="left"/>
            </w:pPr>
            <w:r>
              <w:rPr>
                <w:b/>
                <w:color w:val="FFFFFF"/>
                <w:sz w:val="15"/>
              </w:rPr>
              <w:t>Ambigüedad</w:t>
            </w:r>
          </w:p>
        </w:tc>
        <w:tc>
          <w:tcPr>
            <w:tcW w:w="3457" w:type="dxa"/>
            <w:shd w:val="clear" w:color="auto" w:fill="1F3864"/>
          </w:tcPr>
          <w:p w:rsidR="0083408C" w:rsidRDefault="00000000">
            <w:pPr>
              <w:spacing w:after="0"/>
              <w:jc w:val="left"/>
            </w:pPr>
            <w:r>
              <w:rPr>
                <w:b/>
                <w:color w:val="FFFFFF"/>
                <w:sz w:val="15"/>
              </w:rPr>
              <w:t>Por qué es peligrosa</w:t>
            </w:r>
          </w:p>
        </w:tc>
        <w:tc>
          <w:tcPr>
            <w:tcW w:w="3457" w:type="dxa"/>
            <w:shd w:val="clear" w:color="auto" w:fill="1F3864"/>
          </w:tcPr>
          <w:p w:rsidR="0083408C" w:rsidRDefault="00000000">
            <w:pPr>
              <w:spacing w:after="0"/>
              <w:jc w:val="left"/>
            </w:pPr>
            <w:r>
              <w:rPr>
                <w:b/>
                <w:color w:val="FFFFFF"/>
                <w:sz w:val="15"/>
              </w:rPr>
              <w:t>Evidencia medida</w:t>
            </w:r>
          </w:p>
        </w:tc>
      </w:tr>
      <w:tr w:rsidR="0083408C">
        <w:trPr>
          <w:cantSplit/>
        </w:trPr>
        <w:tc>
          <w:tcPr>
            <w:tcW w:w="3457" w:type="dxa"/>
          </w:tcPr>
          <w:p w:rsidR="0083408C" w:rsidRDefault="00000000">
            <w:pPr>
              <w:spacing w:after="0"/>
              <w:jc w:val="left"/>
            </w:pPr>
            <w:r>
              <w:rPr>
                <w:b/>
                <w:sz w:val="15"/>
              </w:rPr>
              <w:t>Declarado vs. propuesto</w:t>
            </w:r>
          </w:p>
        </w:tc>
        <w:tc>
          <w:tcPr>
            <w:tcW w:w="3457" w:type="dxa"/>
          </w:tcPr>
          <w:p w:rsidR="0083408C" w:rsidRDefault="00000000">
            <w:pPr>
              <w:spacing w:after="0"/>
              <w:jc w:val="left"/>
            </w:pPr>
            <w:r>
              <w:rPr>
                <w:sz w:val="15"/>
              </w:rPr>
              <w:t>Dos tablas de compras con las mismas columnas y totales parecidos: sumarlas cuenta el mismo gasto dos veces y compararlas sin acotar el rango produce una diferencia falsa</w:t>
            </w:r>
          </w:p>
        </w:tc>
        <w:tc>
          <w:tcPr>
            <w:tcW w:w="3457" w:type="dxa"/>
          </w:tcPr>
          <w:p w:rsidR="0083408C" w:rsidRDefault="00000000">
            <w:pPr>
              <w:spacing w:after="0"/>
              <w:jc w:val="left"/>
            </w:pPr>
            <w:r>
              <w:rPr>
                <w:sz w:val="15"/>
              </w:rPr>
              <w:t>En el rango común, 300.077.526,15 declarado contra 293.634.937,33 propuesto: 2 %, el orden de magnitud exacto de un error creíble</w:t>
            </w:r>
          </w:p>
        </w:tc>
      </w:tr>
      <w:tr w:rsidR="0083408C">
        <w:trPr>
          <w:cantSplit/>
        </w:trPr>
        <w:tc>
          <w:tcPr>
            <w:tcW w:w="3457" w:type="dxa"/>
            <w:shd w:val="clear" w:color="auto" w:fill="F2F4F8"/>
          </w:tcPr>
          <w:p w:rsidR="0083408C" w:rsidRDefault="00000000">
            <w:pPr>
              <w:spacing w:after="0"/>
              <w:jc w:val="left"/>
            </w:pPr>
            <w:r>
              <w:rPr>
                <w:b/>
                <w:sz w:val="15"/>
              </w:rPr>
              <w:t>La clave de conciliación</w:t>
            </w:r>
          </w:p>
        </w:tc>
        <w:tc>
          <w:tcPr>
            <w:tcW w:w="3457" w:type="dxa"/>
            <w:shd w:val="clear" w:color="auto" w:fill="F2F4F8"/>
          </w:tcPr>
          <w:p w:rsidR="0083408C" w:rsidRDefault="00000000">
            <w:pPr>
              <w:spacing w:after="0"/>
              <w:jc w:val="left"/>
            </w:pPr>
            <w:r>
              <w:rPr>
                <w:sz w:val="15"/>
              </w:rPr>
              <w:t>car_sunat parece la clave natural y no lo es: cruzar por ella devuelve cero filas, o sea la conclusión falsa de que no coincide nada</w:t>
            </w:r>
          </w:p>
        </w:tc>
        <w:tc>
          <w:tcPr>
            <w:tcW w:w="3457" w:type="dxa"/>
            <w:shd w:val="clear" w:color="auto" w:fill="F2F4F8"/>
          </w:tcPr>
          <w:p w:rsidR="0083408C" w:rsidRDefault="00000000">
            <w:pPr>
              <w:spacing w:after="0"/>
              <w:jc w:val="left"/>
            </w:pPr>
            <w:r>
              <w:rPr>
                <w:sz w:val="15"/>
              </w:rPr>
              <w:t>car_sunat está vacío en las 8.607 filas de la declaración; la clave correcta (periodo, tipo_cp, serie, numero, num_doc_prov) casa 5.374</w:t>
            </w:r>
          </w:p>
        </w:tc>
      </w:tr>
      <w:tr w:rsidR="0083408C">
        <w:trPr>
          <w:cantSplit/>
        </w:trPr>
        <w:tc>
          <w:tcPr>
            <w:tcW w:w="3457" w:type="dxa"/>
          </w:tcPr>
          <w:p w:rsidR="0083408C" w:rsidRDefault="00000000">
            <w:pPr>
              <w:spacing w:after="0"/>
              <w:jc w:val="left"/>
            </w:pPr>
            <w:r>
              <w:rPr>
                <w:b/>
                <w:sz w:val="15"/>
              </w:rPr>
              <w:t>Diario vs. mayor</w:t>
            </w:r>
          </w:p>
        </w:tc>
        <w:tc>
          <w:tcPr>
            <w:tcW w:w="3457" w:type="dxa"/>
          </w:tcPr>
          <w:p w:rsidR="0083408C" w:rsidRDefault="00000000">
            <w:pPr>
              <w:spacing w:after="0"/>
              <w:jc w:val="left"/>
            </w:pPr>
            <w:r>
              <w:rPr>
                <w:sz w:val="15"/>
              </w:rPr>
              <w:t>El mismo hecho visto de dos maneras: sumarlos duplica y cruzarlos multiplica, y como los totales se parecen la diferencia se lee como un descuadre contable</w:t>
            </w:r>
          </w:p>
        </w:tc>
        <w:tc>
          <w:tcPr>
            <w:tcW w:w="3457" w:type="dxa"/>
          </w:tcPr>
          <w:p w:rsidR="0083408C" w:rsidRDefault="00000000">
            <w:pPr>
              <w:spacing w:after="0"/>
              <w:jc w:val="left"/>
            </w:pPr>
            <w:r>
              <w:rPr>
                <w:sz w:val="15"/>
              </w:rPr>
              <w:t xml:space="preserve">El debe suma 4.214.757.908,89 en el diario y 4.041.811.760,63 en el mayor; la diferencia son exactamente las 154 líneas </w:t>
            </w:r>
            <w:r>
              <w:rPr>
                <w:i/>
                <w:sz w:val="15"/>
              </w:rPr>
              <w:t>POR EL SALDO INICIAL</w:t>
            </w:r>
            <w:r>
              <w:rPr>
                <w:sz w:val="15"/>
              </w:rPr>
              <w:t xml:space="preserve"> de 202301, que solo existen en el diario</w:t>
            </w:r>
          </w:p>
        </w:tc>
      </w:tr>
    </w:tbl>
    <w:p w:rsidR="0083408C" w:rsidRDefault="00000000">
      <w:pPr>
        <w:spacing w:before="40" w:after="160"/>
        <w:jc w:val="left"/>
      </w:pPr>
      <w:r>
        <w:rPr>
          <w:i/>
          <w:sz w:val="15"/>
        </w:rPr>
        <w:t>Cifras obtenidas consultando output/analitica.duckdb al redactar. Hay una cuarta, del mismo tipo: las dimensiones traen totales agregados, de modo que SELECT … FROM proveedores ORDER BY total DESC parece un ranking y es un ranking en monedas mezcladas (111.256.871,08 en crudo frente a 363.296.725,37 convertidos a soles).</w:t>
      </w:r>
    </w:p>
    <w:p w:rsidR="0083408C" w:rsidRDefault="0083408C">
      <w:pPr>
        <w:sectPr w:rsidR="0083408C">
          <w:type w:val="continuous"/>
          <w:pgSz w:w="12240" w:h="15840"/>
          <w:pgMar w:top="1009" w:right="935" w:bottom="1009" w:left="935" w:header="720" w:footer="720" w:gutter="0"/>
          <w:cols w:space="288"/>
          <w:docGrid w:linePitch="360"/>
        </w:sectPr>
      </w:pPr>
    </w:p>
    <w:p w:rsidR="0083408C" w:rsidRDefault="00000000">
      <w:r>
        <w:t xml:space="preserve">Hay una quinta trampa, la más silenciosa, que no es ambigüedad sino error de cardinalidad: usar plan_contable_wide para poner nombre a una cuenta. No es un maestro sino el plan declarado mes a mes, y repite las 3.395 cuentas en los 42 períodos —142.590 = 3.395 × 42—, de modo que un JOIN contra ella multiplica cualquier importe por 42 sin dar síntoma. La dimensión correcta es plan_cuentas. La mitigación está en el catálogo semántico y no en el prompt libre: las reglas de negocio pasaron de 24 a 43 documentos indexados, y los 19 nuevos se agrupan en cuatro secciones que </w:t>
      </w:r>
      <w:r>
        <w:t>existen por esto, cada una con la tabla por defecto, la clave de cruce correcta y la prohibición explícita.</w:t>
      </w:r>
    </w:p>
    <w:p w:rsidR="0083408C" w:rsidRDefault="00000000">
      <w:pPr>
        <w:pStyle w:val="Heading2"/>
        <w:spacing w:before="160" w:after="40"/>
        <w:jc w:val="left"/>
      </w:pPr>
      <w:r>
        <w:rPr>
          <w:rFonts w:ascii="Times New Roman" w:hAnsi="Times New Roman"/>
          <w:b w:val="0"/>
          <w:i/>
          <w:sz w:val="20"/>
        </w:rPr>
        <w:t>C.  El diccionario PCGE contrastado con el plan contable real</w:t>
      </w:r>
    </w:p>
    <w:p w:rsidR="0083408C" w:rsidRDefault="00000000">
      <w:r>
        <w:t>El diccionario del plan contable pasó de 176 a 247 fichas, y la razón del crecimiento importa más que la cifra: se dejó de construirlo contra el estándar público y se pasó a contrastarlo contra el plan que la propia empresa declara. El resultado es que el conocimiento del estándar era peor fuente que el dato de la empresa.</w:t>
      </w:r>
    </w:p>
    <w:p w:rsidR="0083408C" w:rsidRDefault="0083408C">
      <w:pPr>
        <w:sectPr w:rsidR="0083408C">
          <w:type w:val="continuous"/>
          <w:pgSz w:w="12240" w:h="15840"/>
          <w:pgMar w:top="1009" w:right="935" w:bottom="1009" w:left="935" w:header="720" w:footer="720" w:gutter="0"/>
          <w:cols w:num="2" w:space="288"/>
          <w:docGrid w:linePitch="360"/>
        </w:sectPr>
      </w:pPr>
    </w:p>
    <w:p w:rsidR="0083408C" w:rsidRDefault="00000000">
      <w:pPr>
        <w:keepNext/>
        <w:spacing w:before="160" w:after="40"/>
        <w:jc w:val="left"/>
      </w:pPr>
      <w:r>
        <w:rPr>
          <w:b/>
          <w:sz w:val="16"/>
        </w:rPr>
        <w:t>Tabla 4. El diccionario del PCGE contra el plan contable real de la empresa</w:t>
      </w:r>
    </w:p>
    <w:tbl>
      <w:tblPr>
        <w:tblStyle w:val="TableGrid"/>
        <w:tblW w:w="0" w:type="auto"/>
        <w:tblLook w:val="04A0" w:firstRow="1" w:lastRow="0" w:firstColumn="1" w:lastColumn="0" w:noHBand="0" w:noVBand="1"/>
      </w:tblPr>
      <w:tblGrid>
        <w:gridCol w:w="3457"/>
        <w:gridCol w:w="3457"/>
        <w:gridCol w:w="3457"/>
      </w:tblGrid>
      <w:tr w:rsidR="0083408C">
        <w:trPr>
          <w:tblHeader/>
        </w:trPr>
        <w:tc>
          <w:tcPr>
            <w:tcW w:w="3457" w:type="dxa"/>
            <w:shd w:val="clear" w:color="auto" w:fill="1F3864"/>
          </w:tcPr>
          <w:p w:rsidR="0083408C" w:rsidRDefault="00000000">
            <w:pPr>
              <w:spacing w:after="0"/>
              <w:jc w:val="left"/>
            </w:pPr>
            <w:r>
              <w:rPr>
                <w:b/>
                <w:color w:val="FFFFFF"/>
                <w:sz w:val="15"/>
              </w:rPr>
              <w:t>Hallazgo</w:t>
            </w:r>
          </w:p>
        </w:tc>
        <w:tc>
          <w:tcPr>
            <w:tcW w:w="3457" w:type="dxa"/>
            <w:shd w:val="clear" w:color="auto" w:fill="1F3864"/>
          </w:tcPr>
          <w:p w:rsidR="0083408C" w:rsidRDefault="00000000">
            <w:pPr>
              <w:spacing w:after="0"/>
              <w:jc w:val="left"/>
            </w:pPr>
            <w:r>
              <w:rPr>
                <w:b/>
                <w:color w:val="FFFFFF"/>
                <w:sz w:val="15"/>
              </w:rPr>
              <w:t>Lo que decía el diccionario</w:t>
            </w:r>
          </w:p>
        </w:tc>
        <w:tc>
          <w:tcPr>
            <w:tcW w:w="3457" w:type="dxa"/>
            <w:shd w:val="clear" w:color="auto" w:fill="1F3864"/>
          </w:tcPr>
          <w:p w:rsidR="0083408C" w:rsidRDefault="00000000">
            <w:pPr>
              <w:spacing w:after="0"/>
              <w:jc w:val="left"/>
            </w:pPr>
            <w:r>
              <w:rPr>
                <w:b/>
                <w:color w:val="FFFFFF"/>
                <w:sz w:val="15"/>
              </w:rPr>
              <w:t>Lo que dicen los datos</w:t>
            </w:r>
          </w:p>
        </w:tc>
      </w:tr>
      <w:tr w:rsidR="0083408C">
        <w:trPr>
          <w:cantSplit/>
        </w:trPr>
        <w:tc>
          <w:tcPr>
            <w:tcW w:w="3457" w:type="dxa"/>
          </w:tcPr>
          <w:p w:rsidR="0083408C" w:rsidRDefault="00000000">
            <w:pPr>
              <w:spacing w:after="0"/>
              <w:jc w:val="left"/>
            </w:pPr>
            <w:r>
              <w:rPr>
                <w:b/>
                <w:sz w:val="15"/>
              </w:rPr>
              <w:t>Versión equivocada de la norma</w:t>
            </w:r>
          </w:p>
        </w:tc>
        <w:tc>
          <w:tcPr>
            <w:tcW w:w="3457" w:type="dxa"/>
          </w:tcPr>
          <w:p w:rsidR="0083408C" w:rsidRDefault="00000000">
            <w:pPr>
              <w:spacing w:after="0"/>
              <w:jc w:val="left"/>
            </w:pPr>
            <w:r>
              <w:rPr>
                <w:sz w:val="15"/>
              </w:rPr>
              <w:t>Numeración del PCGE de 2010: depreciación en 681, amortización en 682, provisión de litigios en 686</w:t>
            </w:r>
          </w:p>
        </w:tc>
        <w:tc>
          <w:tcPr>
            <w:tcW w:w="3457" w:type="dxa"/>
          </w:tcPr>
          <w:p w:rsidR="0083408C" w:rsidRDefault="00000000">
            <w:pPr>
              <w:spacing w:after="0"/>
              <w:jc w:val="left"/>
            </w:pPr>
            <w:r>
              <w:rPr>
                <w:sz w:val="15"/>
              </w:rPr>
              <w:t xml:space="preserve">La empresa usa el PCGE 2019: 684, 686 y 689. La 681 existe en el plan pero tiene CERO asientos, mientras que la 684 tiene 354 movimientos y 7.217.718,85 al debe: </w:t>
            </w:r>
            <w:r>
              <w:rPr>
                <w:i/>
                <w:sz w:val="15"/>
              </w:rPr>
              <w:t>cuánto se depreció</w:t>
            </w:r>
            <w:r>
              <w:rPr>
                <w:sz w:val="15"/>
              </w:rPr>
              <w:t xml:space="preserve"> llevaba a un filtro vacío</w:t>
            </w:r>
          </w:p>
        </w:tc>
      </w:tr>
      <w:tr w:rsidR="0083408C">
        <w:trPr>
          <w:cantSplit/>
        </w:trPr>
        <w:tc>
          <w:tcPr>
            <w:tcW w:w="3457" w:type="dxa"/>
            <w:shd w:val="clear" w:color="auto" w:fill="F2F4F8"/>
          </w:tcPr>
          <w:p w:rsidR="0083408C" w:rsidRDefault="00000000">
            <w:pPr>
              <w:spacing w:after="0"/>
              <w:jc w:val="left"/>
            </w:pPr>
            <w:r>
              <w:rPr>
                <w:b/>
                <w:sz w:val="15"/>
              </w:rPr>
              <w:t>El elemento 9 no era genérico</w:t>
            </w:r>
          </w:p>
        </w:tc>
        <w:tc>
          <w:tcPr>
            <w:tcW w:w="3457" w:type="dxa"/>
            <w:shd w:val="clear" w:color="auto" w:fill="F2F4F8"/>
          </w:tcPr>
          <w:p w:rsidR="0083408C" w:rsidRDefault="00000000">
            <w:pPr>
              <w:spacing w:after="0"/>
              <w:jc w:val="left"/>
            </w:pPr>
            <w:r>
              <w:rPr>
                <w:sz w:val="15"/>
              </w:rPr>
              <w:t>Seis fichas de texto casi idéntico compitiendo entre sí en el mismo índice</w:t>
            </w:r>
          </w:p>
        </w:tc>
        <w:tc>
          <w:tcPr>
            <w:tcW w:w="3457" w:type="dxa"/>
            <w:shd w:val="clear" w:color="auto" w:fill="F2F4F8"/>
          </w:tcPr>
          <w:p w:rsidR="0083408C" w:rsidRDefault="00000000">
            <w:pPr>
              <w:spacing w:after="0"/>
              <w:jc w:val="left"/>
            </w:pPr>
            <w:r>
              <w:rPr>
                <w:sz w:val="15"/>
              </w:rPr>
              <w:t>Aquí el elemento 9 es la contabilidad analítica de la FLOTA PESQUERA: 911 participación de pesca, 912 combustibles, 913 casco y varadero. Son 22.825 movimientos y 328 códigos, y no aparece en ningún plan público</w:t>
            </w:r>
          </w:p>
        </w:tc>
      </w:tr>
      <w:tr w:rsidR="0083408C">
        <w:trPr>
          <w:cantSplit/>
        </w:trPr>
        <w:tc>
          <w:tcPr>
            <w:tcW w:w="3457" w:type="dxa"/>
          </w:tcPr>
          <w:p w:rsidR="0083408C" w:rsidRDefault="00000000">
            <w:pPr>
              <w:spacing w:after="0"/>
              <w:jc w:val="left"/>
            </w:pPr>
            <w:r>
              <w:rPr>
                <w:b/>
                <w:sz w:val="15"/>
              </w:rPr>
              <w:t>Faltaba cobertura y vocabulario</w:t>
            </w:r>
          </w:p>
        </w:tc>
        <w:tc>
          <w:tcPr>
            <w:tcW w:w="3457" w:type="dxa"/>
          </w:tcPr>
          <w:p w:rsidR="0083408C" w:rsidRDefault="00000000">
            <w:pPr>
              <w:spacing w:after="0"/>
              <w:jc w:val="left"/>
            </w:pPr>
            <w:r>
              <w:rPr>
                <w:sz w:val="15"/>
              </w:rPr>
              <w:t>107 subcuentas elegidas por lo que el estándar considera relevante, y solo su denominación oficial</w:t>
            </w:r>
          </w:p>
        </w:tc>
        <w:tc>
          <w:tcPr>
            <w:tcW w:w="3457" w:type="dxa"/>
          </w:tcPr>
          <w:p w:rsidR="0083408C" w:rsidRDefault="00000000">
            <w:pPr>
              <w:spacing w:after="0"/>
              <w:jc w:val="left"/>
            </w:pPr>
            <w:r>
              <w:rPr>
                <w:sz w:val="15"/>
              </w:rPr>
              <w:t>178 subcuentas elegidas por tener asientos reales, más términos que solo existen en el plan de la empresa: CAJA DE BENEFICIOS DEL PESCADOR (6276), APORTE SOCIAL AL FEP (40621), CANON PESQUERO (401340)</w:t>
            </w:r>
          </w:p>
        </w:tc>
      </w:tr>
    </w:tbl>
    <w:p w:rsidR="0083408C" w:rsidRDefault="00000000">
      <w:pPr>
        <w:spacing w:before="40" w:after="160"/>
        <w:jc w:val="left"/>
      </w:pPr>
      <w:r>
        <w:rPr>
          <w:i/>
          <w:sz w:val="15"/>
        </w:rPr>
        <w:t>Contrastado consultando plan_cuentas y libro_mayor_wide sobre output/analitica.duckdb, contra las fichas de src/rag/pcge.py.</w:t>
      </w:r>
    </w:p>
    <w:p w:rsidR="0083408C" w:rsidRDefault="0083408C">
      <w:pPr>
        <w:sectPr w:rsidR="0083408C">
          <w:type w:val="continuous"/>
          <w:pgSz w:w="12240" w:h="15840"/>
          <w:pgMar w:top="1009" w:right="935" w:bottom="1009" w:left="935" w:header="720" w:footer="720" w:gutter="0"/>
          <w:cols w:space="288"/>
          <w:docGrid w:linePitch="360"/>
        </w:sectPr>
      </w:pPr>
    </w:p>
    <w:p w:rsidR="0083408C" w:rsidRDefault="00000000">
      <w:r>
        <w:t>El criterio para incorporarlo es el que ya había funcionado en el ranking: el nombre del estándar queda como ETIQUETA y la denominación real de la empresa entra como VOCABULARIO, delante en el texto que se embebe. Lo que no se hizo, deliberadamente, es bajar la granularidad a las 3.395 divisionarias: serían documentos casi idénticos compitiendo entre sí, que es el defecto recién corregido en el elemento 9. La ficha se queda en el nivel de subcuenta, que es al que el modelo tiene que escribir el LIKE.</w:t>
      </w:r>
    </w:p>
    <w:p w:rsidR="0083408C" w:rsidRDefault="00000000">
      <w:pPr>
        <w:pStyle w:val="Heading2"/>
        <w:spacing w:before="160" w:after="40"/>
        <w:jc w:val="left"/>
      </w:pPr>
      <w:r>
        <w:rPr>
          <w:rFonts w:ascii="Times New Roman" w:hAnsi="Times New Roman"/>
          <w:b w:val="0"/>
          <w:i/>
          <w:sz w:val="20"/>
        </w:rPr>
        <w:t>D.  Pipeline de preprocesamiento</w:t>
      </w:r>
    </w:p>
    <w:p w:rsidR="0083408C" w:rsidRDefault="00000000">
      <w:r>
        <w:t xml:space="preserve">El preprocesamiento tiene dos mitades independientes: la ingesta a la base analítica, una vez al mes, y la normalización del texto para el índice vectorial, que va aparte por ser el núcleo lingüístico del trabajo. Los archivos de origen imponen sus particularidades: los .txt vienen en cp1252 —leerlos como UTF-8 corrompe cualquier razón social con ñ— y con los campos identificados por posición, de modo que el mapeo posición→nombre→tipo vive en un solo módulo, lo único que hay que tocar para añadir una fuente; el .xlsx del formato 5.1 </w:t>
      </w:r>
      <w:r>
        <w:t>abre con preámbulo y cabecera multi-fila, así que el parser localiza los rótulos por su contenido; y en ventas una nota de crédito no viene como base e IGV negativos, sino con el importe negativo en las columnas de descuento, que el ETL consolida para que SUM(igv) sea el débito fiscal real.</w:t>
      </w:r>
    </w:p>
    <w:p w:rsidR="0083408C" w:rsidRDefault="00000000">
      <w:pPr>
        <w:keepNext/>
        <w:spacing w:before="120" w:after="40"/>
        <w:jc w:val="center"/>
      </w:pPr>
      <w:r>
        <w:rPr>
          <w:noProof/>
        </w:rPr>
        <w:lastRenderedPageBreak/>
        <w:drawing>
          <wp:inline distT="0" distB="0" distL="0" distR="0">
            <wp:extent cx="2448000" cy="35083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pipeline.png"/>
                    <pic:cNvPicPr/>
                  </pic:nvPicPr>
                  <pic:blipFill>
                    <a:blip r:embed="rId10"/>
                    <a:stretch>
                      <a:fillRect/>
                    </a:stretch>
                  </pic:blipFill>
                  <pic:spPr>
                    <a:xfrm>
                      <a:off x="0" y="0"/>
                      <a:ext cx="2448000" cy="3508380"/>
                    </a:xfrm>
                    <a:prstGeom prst="rect">
                      <a:avLst/>
                    </a:prstGeom>
                  </pic:spPr>
                </pic:pic>
              </a:graphicData>
            </a:graphic>
          </wp:inline>
        </w:drawing>
      </w:r>
    </w:p>
    <w:p w:rsidR="0083408C" w:rsidRDefault="00000000">
      <w:pPr>
        <w:spacing w:after="160"/>
        <w:jc w:val="center"/>
      </w:pPr>
      <w:r>
        <w:rPr>
          <w:i/>
          <w:color w:val="606060"/>
          <w:sz w:val="16"/>
        </w:rPr>
        <w:t>Fig. 2. Pipeline de ingesta: de los archivos SUNAT a DuckDB. La partición por período es lo que hace la re-ingesta idempotente.</w:t>
      </w:r>
    </w:p>
    <w:p w:rsidR="0083408C" w:rsidRDefault="00000000">
      <w:r>
        <w:t xml:space="preserve">El paso costoso es parsear cp1252 posicionalmente; leer Parquet son milisegundos. Al particionar por período, ingerir un mes nuevo solo reparsea ese archivo y solo sobrescribe su partición: la ingesta es incremental e idempotente —reingestar un mes sobrescribe en vez de duplicar—, así que se puede reprocesar un período corregido por SUNAT o dejar un cron mensual corriendo de más. La capa Parquet además desacopla el ETL del motor. Cada columna declara cómo se normaliza, y las decisiones no son cosméticas: con el período como entero AAAAMM, </w:t>
      </w:r>
      <w:r>
        <w:rPr>
          <w:i/>
        </w:rPr>
        <w:t>en 2025</w:t>
      </w:r>
      <w:r>
        <w:t xml:space="preserve"> se traduce a periodo BETWEEN 202501 AND 202512, un filtro que el modelo escribe bien de forma consistente.</w:t>
      </w:r>
    </w:p>
    <w:p w:rsidR="0083408C" w:rsidRDefault="00000000">
      <w:pPr>
        <w:pStyle w:val="Heading2"/>
        <w:spacing w:before="160" w:after="40"/>
        <w:jc w:val="left"/>
      </w:pPr>
      <w:r>
        <w:rPr>
          <w:rFonts w:ascii="Times New Roman" w:hAnsi="Times New Roman"/>
          <w:b w:val="0"/>
          <w:i/>
          <w:sz w:val="20"/>
        </w:rPr>
        <w:t>E.  Normalización de glosas</w:t>
      </w:r>
    </w:p>
    <w:p w:rsidR="0083408C" w:rsidRDefault="00000000">
      <w:r>
        <w:t>Es el núcleo lingüístico del trabajo. La glosa cruda no es texto que un modelo de embeddings pueda aprovechar: llega en mayúsculas, sin tildes, abreviada y contaminada con restos de otros campos. normalizar() baja a minúsculas, quita tildes, expande abreviaturas, borra los tokens que son código o importe y colapsa espacios.</w:t>
      </w:r>
    </w:p>
    <w:p w:rsidR="0083408C" w:rsidRDefault="00000000">
      <w:pPr>
        <w:keepNext/>
        <w:spacing w:before="160" w:after="40"/>
        <w:jc w:val="left"/>
      </w:pPr>
      <w:r>
        <w:rPr>
          <w:b/>
          <w:sz w:val="16"/>
        </w:rPr>
        <w:t>Tabla 5. Normalización de glosas reales del libro mayor</w:t>
      </w:r>
    </w:p>
    <w:tbl>
      <w:tblPr>
        <w:tblStyle w:val="TableGrid"/>
        <w:tblW w:w="0" w:type="auto"/>
        <w:tblLook w:val="04A0" w:firstRow="1" w:lastRow="0" w:firstColumn="1" w:lastColumn="0" w:noHBand="0" w:noVBand="1"/>
      </w:tblPr>
      <w:tblGrid>
        <w:gridCol w:w="2735"/>
        <w:gridCol w:w="2522"/>
      </w:tblGrid>
      <w:tr w:rsidR="0083408C">
        <w:trPr>
          <w:tblHeader/>
        </w:trPr>
        <w:tc>
          <w:tcPr>
            <w:tcW w:w="5185" w:type="dxa"/>
            <w:shd w:val="clear" w:color="auto" w:fill="1F3864"/>
          </w:tcPr>
          <w:p w:rsidR="0083408C" w:rsidRDefault="00000000">
            <w:pPr>
              <w:spacing w:after="0"/>
              <w:jc w:val="left"/>
            </w:pPr>
            <w:r>
              <w:rPr>
                <w:b/>
                <w:color w:val="FFFFFF"/>
                <w:sz w:val="15"/>
              </w:rPr>
              <w:t>Glosa original</w:t>
            </w:r>
          </w:p>
        </w:tc>
        <w:tc>
          <w:tcPr>
            <w:tcW w:w="5185" w:type="dxa"/>
            <w:shd w:val="clear" w:color="auto" w:fill="1F3864"/>
          </w:tcPr>
          <w:p w:rsidR="0083408C" w:rsidRDefault="00000000">
            <w:pPr>
              <w:spacing w:after="0"/>
              <w:jc w:val="left"/>
            </w:pPr>
            <w:r>
              <w:rPr>
                <w:b/>
                <w:color w:val="FFFFFF"/>
                <w:sz w:val="15"/>
              </w:rPr>
              <w:t>Normalizada</w:t>
            </w:r>
          </w:p>
        </w:tc>
      </w:tr>
      <w:tr w:rsidR="0083408C">
        <w:trPr>
          <w:cantSplit/>
        </w:trPr>
        <w:tc>
          <w:tcPr>
            <w:tcW w:w="5185" w:type="dxa"/>
          </w:tcPr>
          <w:p w:rsidR="0083408C" w:rsidRDefault="00000000">
            <w:pPr>
              <w:spacing w:after="0"/>
              <w:jc w:val="left"/>
            </w:pPr>
            <w:r>
              <w:rPr>
                <w:sz w:val="15"/>
              </w:rPr>
              <w:t>MANTEN.Y REPARAC.-EP.VICTORIA-CHD.</w:t>
            </w:r>
          </w:p>
        </w:tc>
        <w:tc>
          <w:tcPr>
            <w:tcW w:w="5185" w:type="dxa"/>
          </w:tcPr>
          <w:p w:rsidR="0083408C" w:rsidRDefault="00000000">
            <w:pPr>
              <w:spacing w:after="0"/>
              <w:jc w:val="left"/>
            </w:pPr>
            <w:r>
              <w:rPr>
                <w:sz w:val="15"/>
              </w:rPr>
              <w:t>mantenimiento y reparacion embarcacion pesquera victoria</w:t>
            </w:r>
          </w:p>
        </w:tc>
      </w:tr>
      <w:tr w:rsidR="0083408C">
        <w:trPr>
          <w:cantSplit/>
        </w:trPr>
        <w:tc>
          <w:tcPr>
            <w:tcW w:w="5185" w:type="dxa"/>
            <w:shd w:val="clear" w:color="auto" w:fill="F2F4F8"/>
          </w:tcPr>
          <w:p w:rsidR="0083408C" w:rsidRDefault="00000000">
            <w:pPr>
              <w:spacing w:after="0"/>
              <w:jc w:val="left"/>
            </w:pPr>
            <w:r>
              <w:rPr>
                <w:sz w:val="15"/>
              </w:rPr>
              <w:t>POR LA DETRACCION PESQUERA EXALMAR S.A.A.    -F001-1205</w:t>
            </w:r>
          </w:p>
        </w:tc>
        <w:tc>
          <w:tcPr>
            <w:tcW w:w="5185" w:type="dxa"/>
            <w:shd w:val="clear" w:color="auto" w:fill="F2F4F8"/>
          </w:tcPr>
          <w:p w:rsidR="0083408C" w:rsidRDefault="00000000">
            <w:pPr>
              <w:spacing w:after="0"/>
              <w:jc w:val="left"/>
            </w:pPr>
            <w:r>
              <w:rPr>
                <w:sz w:val="15"/>
              </w:rPr>
              <w:t>por la detraccion pesquera exalmar</w:t>
            </w:r>
          </w:p>
        </w:tc>
      </w:tr>
      <w:tr w:rsidR="0083408C">
        <w:trPr>
          <w:cantSplit/>
        </w:trPr>
        <w:tc>
          <w:tcPr>
            <w:tcW w:w="5185" w:type="dxa"/>
          </w:tcPr>
          <w:p w:rsidR="0083408C" w:rsidRDefault="00000000">
            <w:pPr>
              <w:spacing w:after="0"/>
              <w:jc w:val="left"/>
            </w:pPr>
            <w:r>
              <w:rPr>
                <w:sz w:val="15"/>
              </w:rPr>
              <w:t>1 UND GASKET KIT TURBOCHARGER E.P DON FERNANDO</w:t>
            </w:r>
          </w:p>
        </w:tc>
        <w:tc>
          <w:tcPr>
            <w:tcW w:w="5185" w:type="dxa"/>
          </w:tcPr>
          <w:p w:rsidR="0083408C" w:rsidRDefault="00000000">
            <w:pPr>
              <w:spacing w:after="0"/>
              <w:jc w:val="left"/>
            </w:pPr>
            <w:r>
              <w:rPr>
                <w:sz w:val="15"/>
              </w:rPr>
              <w:t>und gasket kit turbocharger embarcacion pesquera don fernando</w:t>
            </w:r>
          </w:p>
        </w:tc>
      </w:tr>
    </w:tbl>
    <w:p w:rsidR="0083408C" w:rsidRDefault="00000000">
      <w:pPr>
        <w:spacing w:before="40" w:after="160"/>
        <w:jc w:val="left"/>
      </w:pPr>
      <w:r>
        <w:rPr>
          <w:i/>
          <w:sz w:val="15"/>
        </w:rPr>
        <w:t>Salida real de normalizar() sobre glosas de libro_mayor_wide.</w:t>
      </w:r>
    </w:p>
    <w:p w:rsidR="0083408C" w:rsidRDefault="00000000">
      <w:r>
        <w:t xml:space="preserve">Se expanden 38 abreviaturas, elegidas por frecuencia real y solo cuando son inequívocas: 'E.P' → embarcación pesquera (24.981 apariciones), MANTEN. → mantenimiento, REPARAC. → reparación. Las ambiguas (PROV., REG., </w:t>
      </w:r>
      <w:r>
        <w:t xml:space="preserve">COM.) se dejan a propósito, porque expandirlas mal inyecta ruido. El detalle de implementación que importa: una abreviatura solo cuenta como tal si termina en punto o es un token suelto —sin esa condición </w:t>
      </w:r>
      <w:r>
        <w:rPr>
          <w:i/>
        </w:rPr>
        <w:t>MANTENIMIENTO</w:t>
      </w:r>
      <w:r>
        <w:t xml:space="preserve"> se convertiría en </w:t>
      </w:r>
      <w:r>
        <w:rPr>
          <w:i/>
        </w:rPr>
        <w:t>mantenimiento imiento</w:t>
      </w:r>
      <w:r>
        <w:t>— y todas las expansiones ocurren en una sola pasada.</w:t>
      </w:r>
    </w:p>
    <w:p w:rsidR="0083408C" w:rsidRDefault="00000000">
      <w:pPr>
        <w:pStyle w:val="Heading3"/>
        <w:spacing w:before="120" w:after="20"/>
        <w:jc w:val="left"/>
      </w:pPr>
      <w:r>
        <w:rPr>
          <w:rFonts w:ascii="Times New Roman" w:hAnsi="Times New Roman"/>
          <w:b w:val="0"/>
          <w:i/>
          <w:color w:val="333333"/>
          <w:sz w:val="19"/>
        </w:rPr>
        <w:t>1)  El hallazgo: la envoltura interrogativa contamina el embedding</w:t>
      </w:r>
    </w:p>
    <w:p w:rsidR="0083408C" w:rsidRDefault="00000000">
      <w:r>
        <w:t>Al verificar el retrieval de punta a punta sobre las 26.832 glosas indexadas apareció un efecto sistemático: los verbos de la pregunta —</w:t>
      </w:r>
      <w:r>
        <w:rPr>
          <w:i/>
        </w:rPr>
        <w:t>gastamos</w:t>
      </w:r>
      <w:r>
        <w:t xml:space="preserve">, </w:t>
      </w:r>
      <w:r>
        <w:rPr>
          <w:i/>
        </w:rPr>
        <w:t>pagó</w:t>
      </w:r>
      <w:r>
        <w:t>— son verbos de pago y arrastran el vector de la consulta hacia glosas de pago, no hacia el concepto preguntado.</w:t>
      </w:r>
    </w:p>
    <w:p w:rsidR="0083408C" w:rsidRDefault="00000000">
      <w:pPr>
        <w:keepNext/>
        <w:spacing w:before="160" w:after="40"/>
        <w:jc w:val="left"/>
      </w:pPr>
      <w:r>
        <w:rPr>
          <w:b/>
          <w:sz w:val="16"/>
        </w:rPr>
        <w:t>Tabla 6. Efecto de la envoltura interrogativa sobre el top-3 recuperado</w:t>
      </w:r>
    </w:p>
    <w:tbl>
      <w:tblPr>
        <w:tblStyle w:val="TableGrid"/>
        <w:tblW w:w="0" w:type="auto"/>
        <w:tblLook w:val="04A0" w:firstRow="1" w:lastRow="0" w:firstColumn="1" w:lastColumn="0" w:noHBand="0" w:noVBand="1"/>
      </w:tblPr>
      <w:tblGrid>
        <w:gridCol w:w="2394"/>
        <w:gridCol w:w="2863"/>
      </w:tblGrid>
      <w:tr w:rsidR="0083408C">
        <w:trPr>
          <w:tblHeader/>
        </w:trPr>
        <w:tc>
          <w:tcPr>
            <w:tcW w:w="5185" w:type="dxa"/>
            <w:shd w:val="clear" w:color="auto" w:fill="1F3864"/>
          </w:tcPr>
          <w:p w:rsidR="0083408C" w:rsidRDefault="00000000">
            <w:pPr>
              <w:spacing w:after="0"/>
              <w:jc w:val="left"/>
            </w:pPr>
            <w:r>
              <w:rPr>
                <w:b/>
                <w:color w:val="FFFFFF"/>
                <w:sz w:val="15"/>
              </w:rPr>
              <w:t>Texto embebido</w:t>
            </w:r>
          </w:p>
        </w:tc>
        <w:tc>
          <w:tcPr>
            <w:tcW w:w="5185" w:type="dxa"/>
            <w:shd w:val="clear" w:color="auto" w:fill="1F3864"/>
          </w:tcPr>
          <w:p w:rsidR="0083408C" w:rsidRDefault="00000000">
            <w:pPr>
              <w:spacing w:after="0"/>
              <w:jc w:val="left"/>
            </w:pPr>
            <w:r>
              <w:rPr>
                <w:b/>
                <w:color w:val="FFFFFF"/>
                <w:sz w:val="15"/>
              </w:rPr>
              <w:t>Top-3 recuperado</w:t>
            </w:r>
          </w:p>
        </w:tc>
      </w:tr>
      <w:tr w:rsidR="0083408C">
        <w:trPr>
          <w:cantSplit/>
        </w:trPr>
        <w:tc>
          <w:tcPr>
            <w:tcW w:w="5185" w:type="dxa"/>
          </w:tcPr>
          <w:p w:rsidR="0083408C" w:rsidRDefault="00000000">
            <w:pPr>
              <w:spacing w:after="0"/>
              <w:jc w:val="left"/>
            </w:pPr>
            <w:r>
              <w:rPr>
                <w:sz w:val="15"/>
              </w:rPr>
              <w:t>cuanto gastamos en mantenimiento de embarcaciones</w:t>
            </w:r>
          </w:p>
        </w:tc>
        <w:tc>
          <w:tcPr>
            <w:tcW w:w="5185" w:type="dxa"/>
          </w:tcPr>
          <w:p w:rsidR="0083408C" w:rsidRDefault="00000000">
            <w:pPr>
              <w:spacing w:after="0"/>
              <w:jc w:val="left"/>
            </w:pPr>
            <w:r>
              <w:rPr>
                <w:sz w:val="15"/>
              </w:rPr>
              <w:t>PAGO CHI RECUBRIMIENTOS MARINOS · PAGO DE HABERES E.P BALLESTAS · EP MATEO, GASTOS VARIOS</w:t>
            </w:r>
          </w:p>
        </w:tc>
      </w:tr>
      <w:tr w:rsidR="0083408C">
        <w:trPr>
          <w:cantSplit/>
        </w:trPr>
        <w:tc>
          <w:tcPr>
            <w:tcW w:w="5185" w:type="dxa"/>
            <w:shd w:val="clear" w:color="auto" w:fill="F2F4F8"/>
          </w:tcPr>
          <w:p w:rsidR="0083408C" w:rsidRDefault="00000000">
            <w:pPr>
              <w:spacing w:after="0"/>
              <w:jc w:val="left"/>
            </w:pPr>
            <w:r>
              <w:rPr>
                <w:sz w:val="15"/>
              </w:rPr>
              <w:t>mantenimiento de embarcaciones</w:t>
            </w:r>
          </w:p>
        </w:tc>
        <w:tc>
          <w:tcPr>
            <w:tcW w:w="5185" w:type="dxa"/>
            <w:shd w:val="clear" w:color="auto" w:fill="F2F4F8"/>
          </w:tcPr>
          <w:p w:rsidR="0083408C" w:rsidRDefault="00000000">
            <w:pPr>
              <w:spacing w:after="0"/>
              <w:jc w:val="left"/>
            </w:pPr>
            <w:r>
              <w:rPr>
                <w:sz w:val="15"/>
              </w:rPr>
              <w:t>2DO.ADEL.ASTILLERO Y MANTEN.EP.MATE · EP MATEO MANTENIMIENTO Y REPARACION · INSPECCION Y MANT. E.P MATEO</w:t>
            </w:r>
          </w:p>
        </w:tc>
      </w:tr>
    </w:tbl>
    <w:p w:rsidR="0083408C" w:rsidRDefault="00000000">
      <w:pPr>
        <w:spacing w:before="40" w:after="160"/>
        <w:jc w:val="left"/>
      </w:pPr>
      <w:r>
        <w:rPr>
          <w:i/>
          <w:sz w:val="15"/>
        </w:rPr>
        <w:t>Medido sobre el índice real (docs/RAG-PLAN.md).</w:t>
      </w:r>
    </w:p>
    <w:p w:rsidR="0083408C" w:rsidRDefault="00000000">
      <w:r>
        <w:t xml:space="preserve">La corrección es una asimetría deliberada entre corpus y consulta: normalizar_query() aplica la normalización del corpus y además retira la envoltura interrogativa —interrogativos, verbos de petición, formas de primera persona, artículos y preposiciones—, de modo que </w:t>
      </w:r>
      <w:r>
        <w:rPr>
          <w:i/>
        </w:rPr>
        <w:t>¿cuánto gastamos en mantenimiento de embarcaciones?</w:t>
      </w:r>
      <w:r>
        <w:t xml:space="preserve"> queda en mantenimiento embarcaciones. La lista es corta y no toca los sustantivos del dominio (</w:t>
      </w:r>
      <w:r>
        <w:rPr>
          <w:i/>
        </w:rPr>
        <w:t>gasto</w:t>
      </w:r>
      <w:r>
        <w:t xml:space="preserve">, </w:t>
      </w:r>
      <w:r>
        <w:rPr>
          <w:i/>
        </w:rPr>
        <w:t>pago</w:t>
      </w:r>
      <w:r>
        <w:t xml:space="preserve">, </w:t>
      </w:r>
      <w:r>
        <w:rPr>
          <w:i/>
        </w:rPr>
        <w:t>compra</w:t>
      </w:r>
      <w:r>
        <w:t>), que sí viven dentro de la glosa, y si al quitar la envoltura no queda nada se devuelve la forma completa. El corpus no se reindexa: la asimetría se aplica solo en tiempo de consulta, así que el hallazgo se incorporó sin recalcular 26.832 embeddings.</w:t>
      </w:r>
    </w:p>
    <w:p w:rsidR="0083408C" w:rsidRDefault="00000000">
      <w:r>
        <w:t>La normalización tiene además un precio declarado y no cuantificado: es agresiva con los códigos —</w:t>
      </w:r>
      <w:r>
        <w:rPr>
          <w:i/>
        </w:rPr>
        <w:t>COMS.PAG.ELCT-000040043 FAC-FE012614651</w:t>
      </w:r>
      <w:r>
        <w:t xml:space="preserve"> queda en </w:t>
      </w:r>
      <w:r>
        <w:rPr>
          <w:i/>
        </w:rPr>
        <w:t>comision</w:t>
      </w:r>
      <w:r>
        <w:t xml:space="preserve">, porque borrar los tokens con dígitos se lleva </w:t>
      </w:r>
      <w:r>
        <w:rPr>
          <w:i/>
        </w:rPr>
        <w:t>PAG.ELCT</w:t>
      </w:r>
      <w:r>
        <w:t xml:space="preserve">— y la expansión de abreviaturas no depende del contexto, de modo que </w:t>
      </w:r>
      <w:r>
        <w:rPr>
          <w:i/>
        </w:rPr>
        <w:t>LENTES DE SEG. ASTRO</w:t>
      </w:r>
      <w:r>
        <w:t xml:space="preserve"> acaba en </w:t>
      </w:r>
      <w:r>
        <w:rPr>
          <w:i/>
        </w:rPr>
        <w:t>lentes de seguro</w:t>
      </w:r>
      <w:r>
        <w:t xml:space="preserve"> cuando SEG. era seguridad. No se midió qué fracción del corpus se degrada por cada causa: es una limitación abierta, no un resultado.</w:t>
      </w:r>
    </w:p>
    <w:p w:rsidR="0083408C" w:rsidRDefault="00000000">
      <w:pPr>
        <w:pStyle w:val="Heading2"/>
        <w:spacing w:before="160" w:after="40"/>
        <w:jc w:val="left"/>
      </w:pPr>
      <w:r>
        <w:rPr>
          <w:rFonts w:ascii="Times New Roman" w:hAnsi="Times New Roman"/>
          <w:b w:val="0"/>
          <w:i/>
          <w:sz w:val="20"/>
        </w:rPr>
        <w:t>F.  Arquitectura del agente</w:t>
      </w:r>
    </w:p>
    <w:p w:rsidR="0083408C" w:rsidRDefault="00000000">
      <w:r>
        <w:t xml:space="preserve">El agente encadena contexto, generación, validación, ejecución con auto-corrección y redacción, y ninguno de los pasos conoce el proveedor de LLM ni el motor de base de datos: ambos entran por interfaz. Lo que no es evidente y sí conviene detallar son cuatro decisiones. El catálogo semántico se arma con el DDL real leído de la base, de modo que nunca se desincroniza. La salida estructurada se consigue con JSON mode más un parseo tolerante, y no con json_schema, para que funcione en cualquier endpoint compatible con OpenAI. La validación no la hace el modelo: sqlglot parsea el SQL y se rechaza todo lo que no sea lectura en cualquier punto del árbol, las tablas deben estar en la lista blanca y si falta LIMIT se inyecta. Y el detalle tabular de la respuesta lo arma la capa </w:t>
      </w:r>
      <w:r>
        <w:lastRenderedPageBreak/>
        <w:t>de presentación, no el modelo, para que no pueda inventar filas.</w:t>
      </w:r>
    </w:p>
    <w:p w:rsidR="0083408C" w:rsidRDefault="00000000">
      <w:r>
        <w:t xml:space="preserve">Dos decisiones merecen justificación. La validación es código y no prompt: pedirle a un modelo que </w:t>
      </w:r>
      <w:r>
        <w:rPr>
          <w:i/>
        </w:rPr>
        <w:t>solo genere SELECT</w:t>
      </w:r>
      <w:r>
        <w:t xml:space="preserve"> es una petición, no una garantía; el análisis sintáctico del árbol sí lo es, y es comprobable con tests (el proyecto tiene 163). Y los modelos se resuelven por rol: get_llm('sql'|'answer') con caída al modelo por defecto, de modo que la tarea dura puede usar un modelo de razonamiento y la fácil uno rápido sin tocar el código del agente. Esa indirección es la que hace barata la campaña de selección de la sección VI-F.</w:t>
      </w:r>
    </w:p>
    <w:p w:rsidR="0083408C" w:rsidRDefault="00000000">
      <w:pPr>
        <w:pStyle w:val="Heading2"/>
        <w:spacing w:before="160" w:after="40"/>
        <w:jc w:val="left"/>
      </w:pPr>
      <w:r>
        <w:rPr>
          <w:rFonts w:ascii="Times New Roman" w:hAnsi="Times New Roman"/>
          <w:b w:val="0"/>
          <w:i/>
          <w:sz w:val="20"/>
        </w:rPr>
        <w:t>G.  El índice vectorial y sus corpus</w:t>
      </w:r>
    </w:p>
    <w:p w:rsidR="0083408C" w:rsidRDefault="00000000">
      <w:r>
        <w:t>El índice vive en Postgres con pgvector, sobre un grafo HNSW [17] con distancia coseno, en una sola tabla con los corpus distinguidos por un campo kind. Los embeddings son locales y multilingües, lo que mantiene el sistema operable sin llamadas externas y sin coste por consulta.</w:t>
      </w:r>
    </w:p>
    <w:p w:rsidR="0083408C" w:rsidRDefault="00000000">
      <w:pPr>
        <w:keepNext/>
        <w:spacing w:before="160" w:after="40"/>
        <w:jc w:val="left"/>
      </w:pPr>
      <w:r>
        <w:rPr>
          <w:b/>
          <w:sz w:val="16"/>
        </w:rPr>
        <w:t>Tabla 7. Corpus indexados</w:t>
      </w:r>
    </w:p>
    <w:tbl>
      <w:tblPr>
        <w:tblStyle w:val="TableGrid"/>
        <w:tblW w:w="0" w:type="auto"/>
        <w:tblLook w:val="04A0" w:firstRow="1" w:lastRow="0" w:firstColumn="1" w:lastColumn="0" w:noHBand="0" w:noVBand="1"/>
      </w:tblPr>
      <w:tblGrid>
        <w:gridCol w:w="1671"/>
        <w:gridCol w:w="1922"/>
        <w:gridCol w:w="1664"/>
      </w:tblGrid>
      <w:tr w:rsidR="0083408C">
        <w:trPr>
          <w:tblHeader/>
        </w:trPr>
        <w:tc>
          <w:tcPr>
            <w:tcW w:w="3457" w:type="dxa"/>
            <w:shd w:val="clear" w:color="auto" w:fill="1F3864"/>
          </w:tcPr>
          <w:p w:rsidR="0083408C" w:rsidRDefault="00000000">
            <w:pPr>
              <w:spacing w:after="0"/>
              <w:jc w:val="left"/>
            </w:pPr>
            <w:r>
              <w:rPr>
                <w:b/>
                <w:color w:val="FFFFFF"/>
                <w:sz w:val="15"/>
              </w:rPr>
              <w:t>kind</w:t>
            </w:r>
          </w:p>
        </w:tc>
        <w:tc>
          <w:tcPr>
            <w:tcW w:w="3457" w:type="dxa"/>
            <w:shd w:val="clear" w:color="auto" w:fill="1F3864"/>
          </w:tcPr>
          <w:p w:rsidR="0083408C" w:rsidRDefault="00000000">
            <w:pPr>
              <w:spacing w:after="0"/>
              <w:jc w:val="left"/>
            </w:pPr>
            <w:r>
              <w:rPr>
                <w:b/>
                <w:color w:val="FFFFFF"/>
                <w:sz w:val="15"/>
              </w:rPr>
              <w:t>Qué es</w:t>
            </w:r>
          </w:p>
        </w:tc>
        <w:tc>
          <w:tcPr>
            <w:tcW w:w="3457" w:type="dxa"/>
            <w:shd w:val="clear" w:color="auto" w:fill="1F3864"/>
          </w:tcPr>
          <w:p w:rsidR="0083408C" w:rsidRDefault="00000000">
            <w:pPr>
              <w:spacing w:after="0"/>
              <w:jc w:val="left"/>
            </w:pPr>
            <w:r>
              <w:rPr>
                <w:b/>
                <w:color w:val="FFFFFF"/>
                <w:sz w:val="15"/>
              </w:rPr>
              <w:t>Docs</w:t>
            </w:r>
          </w:p>
        </w:tc>
      </w:tr>
      <w:tr w:rsidR="0083408C">
        <w:trPr>
          <w:cantSplit/>
        </w:trPr>
        <w:tc>
          <w:tcPr>
            <w:tcW w:w="3457" w:type="dxa"/>
          </w:tcPr>
          <w:p w:rsidR="0083408C" w:rsidRDefault="00000000">
            <w:pPr>
              <w:spacing w:after="0"/>
              <w:jc w:val="left"/>
            </w:pPr>
            <w:r>
              <w:rPr>
                <w:b/>
                <w:sz w:val="15"/>
              </w:rPr>
              <w:t>glosa</w:t>
            </w:r>
          </w:p>
        </w:tc>
        <w:tc>
          <w:tcPr>
            <w:tcW w:w="3457" w:type="dxa"/>
          </w:tcPr>
          <w:p w:rsidR="0083408C" w:rsidRDefault="00000000">
            <w:pPr>
              <w:spacing w:after="0"/>
              <w:jc w:val="left"/>
            </w:pPr>
            <w:r>
              <w:rPr>
                <w:sz w:val="15"/>
              </w:rPr>
              <w:t>Cada glosa distinta del libro mayor, normalizada</w:t>
            </w:r>
          </w:p>
        </w:tc>
        <w:tc>
          <w:tcPr>
            <w:tcW w:w="3457" w:type="dxa"/>
          </w:tcPr>
          <w:p w:rsidR="0083408C" w:rsidRDefault="00000000">
            <w:pPr>
              <w:spacing w:after="0"/>
              <w:jc w:val="left"/>
            </w:pPr>
            <w:r>
              <w:rPr>
                <w:sz w:val="15"/>
              </w:rPr>
              <w:t>26.832</w:t>
            </w:r>
          </w:p>
        </w:tc>
      </w:tr>
      <w:tr w:rsidR="0083408C">
        <w:trPr>
          <w:cantSplit/>
        </w:trPr>
        <w:tc>
          <w:tcPr>
            <w:tcW w:w="3457" w:type="dxa"/>
            <w:shd w:val="clear" w:color="auto" w:fill="F2F4F8"/>
          </w:tcPr>
          <w:p w:rsidR="0083408C" w:rsidRDefault="00000000">
            <w:pPr>
              <w:spacing w:after="0"/>
              <w:jc w:val="left"/>
            </w:pPr>
            <w:r>
              <w:rPr>
                <w:b/>
                <w:sz w:val="15"/>
              </w:rPr>
              <w:t>tabla</w:t>
            </w:r>
          </w:p>
        </w:tc>
        <w:tc>
          <w:tcPr>
            <w:tcW w:w="3457" w:type="dxa"/>
            <w:shd w:val="clear" w:color="auto" w:fill="F2F4F8"/>
          </w:tcPr>
          <w:p w:rsidR="0083408C" w:rsidRDefault="00000000">
            <w:pPr>
              <w:spacing w:after="0"/>
              <w:jc w:val="left"/>
            </w:pPr>
            <w:r>
              <w:rPr>
                <w:sz w:val="15"/>
              </w:rPr>
              <w:t>Un documento por tabla, con su bloque DDL completo</w:t>
            </w:r>
          </w:p>
        </w:tc>
        <w:tc>
          <w:tcPr>
            <w:tcW w:w="3457" w:type="dxa"/>
            <w:shd w:val="clear" w:color="auto" w:fill="F2F4F8"/>
          </w:tcPr>
          <w:p w:rsidR="0083408C" w:rsidRDefault="00000000">
            <w:pPr>
              <w:spacing w:after="0"/>
              <w:jc w:val="left"/>
            </w:pPr>
            <w:r>
              <w:rPr>
                <w:sz w:val="15"/>
              </w:rPr>
              <w:t>12</w:t>
            </w:r>
          </w:p>
        </w:tc>
      </w:tr>
      <w:tr w:rsidR="0083408C">
        <w:trPr>
          <w:cantSplit/>
        </w:trPr>
        <w:tc>
          <w:tcPr>
            <w:tcW w:w="3457" w:type="dxa"/>
          </w:tcPr>
          <w:p w:rsidR="0083408C" w:rsidRDefault="00000000">
            <w:pPr>
              <w:spacing w:after="0"/>
              <w:jc w:val="left"/>
            </w:pPr>
            <w:r>
              <w:rPr>
                <w:b/>
                <w:sz w:val="15"/>
              </w:rPr>
              <w:t>regla</w:t>
            </w:r>
          </w:p>
        </w:tc>
        <w:tc>
          <w:tcPr>
            <w:tcW w:w="3457" w:type="dxa"/>
          </w:tcPr>
          <w:p w:rsidR="0083408C" w:rsidRDefault="00000000">
            <w:pPr>
              <w:spacing w:after="0"/>
              <w:jc w:val="left"/>
            </w:pPr>
            <w:r>
              <w:rPr>
                <w:sz w:val="15"/>
              </w:rPr>
              <w:t>Una viñeta o párrafo de las reglas de negocio, con su sección</w:t>
            </w:r>
          </w:p>
        </w:tc>
        <w:tc>
          <w:tcPr>
            <w:tcW w:w="3457" w:type="dxa"/>
          </w:tcPr>
          <w:p w:rsidR="0083408C" w:rsidRDefault="00000000">
            <w:pPr>
              <w:spacing w:after="0"/>
              <w:jc w:val="left"/>
            </w:pPr>
            <w:r>
              <w:rPr>
                <w:sz w:val="15"/>
              </w:rPr>
              <w:t>43</w:t>
            </w:r>
          </w:p>
        </w:tc>
      </w:tr>
      <w:tr w:rsidR="0083408C">
        <w:trPr>
          <w:cantSplit/>
        </w:trPr>
        <w:tc>
          <w:tcPr>
            <w:tcW w:w="3457" w:type="dxa"/>
            <w:shd w:val="clear" w:color="auto" w:fill="F2F4F8"/>
          </w:tcPr>
          <w:p w:rsidR="0083408C" w:rsidRDefault="00000000">
            <w:pPr>
              <w:spacing w:after="0"/>
              <w:jc w:val="left"/>
            </w:pPr>
            <w:r>
              <w:rPr>
                <w:b/>
                <w:sz w:val="15"/>
              </w:rPr>
              <w:t>codigo</w:t>
            </w:r>
          </w:p>
        </w:tc>
        <w:tc>
          <w:tcPr>
            <w:tcW w:w="3457" w:type="dxa"/>
            <w:shd w:val="clear" w:color="auto" w:fill="F2F4F8"/>
          </w:tcPr>
          <w:p w:rsidR="0083408C" w:rsidRDefault="00000000">
            <w:pPr>
              <w:spacing w:after="0"/>
              <w:jc w:val="left"/>
            </w:pPr>
            <w:r>
              <w:rPr>
                <w:sz w:val="15"/>
              </w:rPr>
              <w:t>Un código SUNAT (tipo de comprobante, tipo de documento)</w:t>
            </w:r>
          </w:p>
        </w:tc>
        <w:tc>
          <w:tcPr>
            <w:tcW w:w="3457" w:type="dxa"/>
            <w:shd w:val="clear" w:color="auto" w:fill="F2F4F8"/>
          </w:tcPr>
          <w:p w:rsidR="0083408C" w:rsidRDefault="00000000">
            <w:pPr>
              <w:spacing w:after="0"/>
              <w:jc w:val="left"/>
            </w:pPr>
            <w:r>
              <w:rPr>
                <w:sz w:val="15"/>
              </w:rPr>
              <w:t>12</w:t>
            </w:r>
          </w:p>
        </w:tc>
      </w:tr>
      <w:tr w:rsidR="0083408C">
        <w:trPr>
          <w:cantSplit/>
        </w:trPr>
        <w:tc>
          <w:tcPr>
            <w:tcW w:w="3457" w:type="dxa"/>
          </w:tcPr>
          <w:p w:rsidR="0083408C" w:rsidRDefault="00000000">
            <w:pPr>
              <w:spacing w:after="0"/>
              <w:jc w:val="left"/>
            </w:pPr>
            <w:r>
              <w:rPr>
                <w:b/>
                <w:sz w:val="15"/>
              </w:rPr>
              <w:t>cuenta</w:t>
            </w:r>
          </w:p>
        </w:tc>
        <w:tc>
          <w:tcPr>
            <w:tcW w:w="3457" w:type="dxa"/>
          </w:tcPr>
          <w:p w:rsidR="0083408C" w:rsidRDefault="00000000">
            <w:pPr>
              <w:spacing w:after="0"/>
              <w:jc w:val="left"/>
            </w:pPr>
            <w:r>
              <w:rPr>
                <w:sz w:val="15"/>
              </w:rPr>
              <w:t>Una ficha del PCGE (elemento, cuenta o subcuenta)</w:t>
            </w:r>
          </w:p>
        </w:tc>
        <w:tc>
          <w:tcPr>
            <w:tcW w:w="3457" w:type="dxa"/>
          </w:tcPr>
          <w:p w:rsidR="0083408C" w:rsidRDefault="00000000">
            <w:pPr>
              <w:spacing w:after="0"/>
              <w:jc w:val="left"/>
            </w:pPr>
            <w:r>
              <w:rPr>
                <w:sz w:val="15"/>
              </w:rPr>
              <w:t>247</w:t>
            </w:r>
          </w:p>
        </w:tc>
      </w:tr>
    </w:tbl>
    <w:p w:rsidR="0083408C" w:rsidRDefault="00000000">
      <w:pPr>
        <w:spacing w:before="40" w:after="160"/>
        <w:jc w:val="left"/>
      </w:pPr>
      <w:r>
        <w:rPr>
          <w:i/>
          <w:sz w:val="15"/>
        </w:rPr>
        <w:t xml:space="preserve">Las 26.832 glosas indexables salen de las 26.921 distintas: se descartan las que, tras normalizar, quedan en menos de 4 caracteres. Las 247 fichas del PCGE son 9 elementos, 60 cuentas y 178 subcuentas; 92 llevan además vocabulario de usuario (427 términos del tipo </w:t>
      </w:r>
      <w:r>
        <w:rPr>
          <w:sz w:val="15"/>
        </w:rPr>
        <w:t>planilla</w:t>
      </w:r>
      <w:r>
        <w:rPr>
          <w:i/>
          <w:sz w:val="15"/>
        </w:rPr>
        <w:t xml:space="preserve">, </w:t>
      </w:r>
      <w:r>
        <w:rPr>
          <w:sz w:val="15"/>
        </w:rPr>
        <w:t>peaje</w:t>
      </w:r>
      <w:r>
        <w:rPr>
          <w:i/>
          <w:sz w:val="15"/>
        </w:rPr>
        <w:t xml:space="preserve">, </w:t>
      </w:r>
      <w:r>
        <w:rPr>
          <w:sz w:val="15"/>
        </w:rPr>
        <w:t>participación de pesca</w:t>
      </w:r>
      <w:r>
        <w:rPr>
          <w:i/>
          <w:sz w:val="15"/>
        </w:rPr>
        <w:t>).</w:t>
      </w:r>
    </w:p>
    <w:p w:rsidR="0083408C" w:rsidRDefault="00000000">
      <w:pPr>
        <w:pStyle w:val="Heading3"/>
        <w:spacing w:before="120" w:after="20"/>
        <w:jc w:val="left"/>
      </w:pPr>
      <w:r>
        <w:rPr>
          <w:rFonts w:ascii="Times New Roman" w:hAnsi="Times New Roman"/>
          <w:b w:val="0"/>
          <w:i/>
          <w:color w:val="333333"/>
          <w:sz w:val="19"/>
        </w:rPr>
        <w:t>1)  Granularidad, señales léxicas y corte de similitud</w:t>
      </w:r>
    </w:p>
    <w:p w:rsidR="0083408C" w:rsidRDefault="00000000">
      <w:r>
        <w:t>La idea original era indexar el esquema para hacer schema linking. Se descartó con un argumento entonces correcto —tres tablas y 42 nombres de columna caben enteros en el prompt— y se implementó igualmente por escalabilidad, con la granularidad correcta: un documento por tabla con su DDL completo, no uno por columna, porque si al modelo le llegan cinco de las dieciocho columnas de una tabla se inventa las trece que faltan. Lo semántico es decidir qué tabla; decidida esa, sus columnas van enteras.</w:t>
      </w:r>
    </w:p>
    <w:p w:rsidR="0083408C" w:rsidRDefault="00000000">
      <w:r>
        <w:t>En corpus de textos muy cortos la similitud coseno deja de discriminar —</w:t>
      </w:r>
      <w:r>
        <w:rPr>
          <w:i/>
        </w:rPr>
        <w:t>cuánto se gastó en mantenimiento</w:t>
      </w:r>
      <w:r>
        <w:t xml:space="preserve"> no recuperaba libro_mayor_wide, la única tabla que sirve—, así que hicieron falta tres señales léxicas que ya estaban en el corpus: la regla arrastra a la tabla que nombra; la columna distintiva rescata a su tabla (si la pregunta dice </w:t>
      </w:r>
      <w:r>
        <w:rPr>
          <w:i/>
        </w:rPr>
        <w:t>debe</w:t>
      </w:r>
      <w:r>
        <w:t xml:space="preserve">, </w:t>
      </w:r>
      <w:r>
        <w:rPr>
          <w:i/>
        </w:rPr>
        <w:t>glosa</w:t>
      </w:r>
      <w:r>
        <w:t xml:space="preserve"> o </w:t>
      </w:r>
      <w:r>
        <w:rPr>
          <w:i/>
        </w:rPr>
        <w:t>cuenta</w:t>
      </w:r>
      <w:r>
        <w:t xml:space="preserve">, entra la suya, y solo cuentan las columnas de una sola tabla, porque </w:t>
      </w:r>
      <w:r>
        <w:rPr>
          <w:i/>
        </w:rPr>
        <w:t>periodo</w:t>
      </w:r>
      <w:r>
        <w:t xml:space="preserve"> está en casi todas); y el código citado por su número solo llega por coincidencia literal, porque los embeddings no distinguen </w:t>
      </w:r>
      <w:r>
        <w:rPr>
          <w:i/>
        </w:rPr>
        <w:t>la cuenta 42</w:t>
      </w:r>
      <w:r>
        <w:t xml:space="preserve"> de </w:t>
      </w:r>
      <w:r>
        <w:rPr>
          <w:i/>
        </w:rPr>
        <w:t>la cuenta 43</w:t>
      </w:r>
      <w:r>
        <w:t>. La asimetría importa: por nombre no hace falta rescate léxico, porque el nombre de una cuenta es una frase larga y descriptiva, justo donde el coseno funciona.</w:t>
      </w:r>
    </w:p>
    <w:p w:rsidR="0083408C" w:rsidRDefault="00000000">
      <w:r>
        <w:t xml:space="preserve">Dos detalles más, medidos. El orden dentro del texto embebido: con el nombre oficial delante, </w:t>
      </w:r>
      <w:r>
        <w:rPr>
          <w:i/>
        </w:rPr>
        <w:t>tributos por pagar</w:t>
      </w:r>
      <w:r>
        <w:t xml:space="preserve"> recuperaba antes la subcuenta 421 que la cuenta 40, porque el nombre formal es largo y burocrático y diluye la señal; con los sinónimos de usuario primero, la 40 pasa al primer puesto. Y el corte no puede ser un umbral absoluto: las similitudes viven comprimidas en [0,82; 0,92] y un umbral de 0,80 dejaba pasar 13.063 de las 26.832 glosas, el 49 % del corpus; el recuperador corta relativo al mejor resultado (sim ≥ mejor − 0,02).</w:t>
      </w:r>
    </w:p>
    <w:p w:rsidR="0083408C" w:rsidRDefault="00000000">
      <w:pPr>
        <w:pStyle w:val="Heading3"/>
        <w:spacing w:before="120" w:after="20"/>
        <w:jc w:val="left"/>
      </w:pPr>
      <w:r>
        <w:rPr>
          <w:rFonts w:ascii="Times New Roman" w:hAnsi="Times New Roman"/>
          <w:b w:val="0"/>
          <w:i/>
          <w:color w:val="333333"/>
          <w:sz w:val="19"/>
        </w:rPr>
        <w:t>2)  El rol del retrieval: vocabulario, no filas</w:t>
      </w:r>
    </w:p>
    <w:p w:rsidR="0083408C" w:rsidRDefault="00000000">
      <w:r>
        <w:t xml:space="preserve">Es la decisión de diseño más consecuente del trabajo, y salió de una medición adversa. La primera integración inyectaba las glosas recuperadas pidiendo al modelo que filtrara con glosa IN (...) usando los textos exactos, y midió mucho peor que el baseline: el modelo trata la lista como exhaustiva y sustituye un filtro que ya funcionaba —para </w:t>
      </w:r>
      <w:r>
        <w:rPr>
          <w:i/>
        </w:rPr>
        <w:t>AFP</w:t>
      </w:r>
      <w:r>
        <w:t>, ocho literales en lugar de un ILIKE que cubría el concepto— y, cuando no sustituye, amplía de más con vecinos que son otro concepto contable (</w:t>
      </w:r>
      <w:r>
        <w:rPr>
          <w:i/>
        </w:rPr>
        <w:t>GASTOS BANCARIOS MANT. CUENTA</w:t>
      </w:r>
      <w:r>
        <w:t xml:space="preserve"> para mantenimiento es una comisión de banco). El arreglo fue invertir el rol del retrieval: de ejecutar —dar las filas— a descubrir vocabulario. El bloque inyectado declara que la muestra es parcial, pide extraer de ella las raíces cortas del concepto y encadenarlas con OR, prohíbe enumerar con IN, advierte de los vecinos falsos y pide ignorarlo entero si la pregunta se resuelve con columnas estructuradas. El SQL sigue siendo léxico —robusto y de recall alto— pero con el vocabulario que solo la búsqueda semántica encuentra: ILIKE '%MANTEN%' OR '%ASTILLERO%' OR '%ARMADO%'.</w:t>
      </w:r>
    </w:p>
    <w:p w:rsidR="0083408C" w:rsidRDefault="00000000">
      <w:pPr>
        <w:pStyle w:val="Heading2"/>
        <w:spacing w:before="160" w:after="40"/>
        <w:jc w:val="left"/>
      </w:pPr>
      <w:r>
        <w:rPr>
          <w:rFonts w:ascii="Times New Roman" w:hAnsi="Times New Roman"/>
          <w:b w:val="0"/>
          <w:i/>
          <w:sz w:val="20"/>
        </w:rPr>
        <w:t>H.  Flujo de una consulta de punta a punta</w:t>
      </w:r>
    </w:p>
    <w:p w:rsidR="0083408C" w:rsidRDefault="0083408C">
      <w:pPr>
        <w:sectPr w:rsidR="0083408C">
          <w:type w:val="continuous"/>
          <w:pgSz w:w="12240" w:h="15840"/>
          <w:pgMar w:top="1009" w:right="935" w:bottom="1009" w:left="935" w:header="720" w:footer="720" w:gutter="0"/>
          <w:cols w:num="2" w:space="288"/>
          <w:docGrid w:linePitch="360"/>
        </w:sectPr>
      </w:pPr>
    </w:p>
    <w:p w:rsidR="0083408C" w:rsidRDefault="00000000">
      <w:pPr>
        <w:keepNext/>
        <w:spacing w:before="120" w:after="40"/>
        <w:jc w:val="center"/>
      </w:pPr>
      <w:r>
        <w:rPr>
          <w:noProof/>
        </w:rPr>
        <w:lastRenderedPageBreak/>
        <w:drawing>
          <wp:inline distT="0" distB="0" distL="0" distR="0">
            <wp:extent cx="4896000" cy="339027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secuencia.png"/>
                    <pic:cNvPicPr/>
                  </pic:nvPicPr>
                  <pic:blipFill>
                    <a:blip r:embed="rId11"/>
                    <a:stretch>
                      <a:fillRect/>
                    </a:stretch>
                  </pic:blipFill>
                  <pic:spPr>
                    <a:xfrm>
                      <a:off x="0" y="0"/>
                      <a:ext cx="4896000" cy="3390276"/>
                    </a:xfrm>
                    <a:prstGeom prst="rect">
                      <a:avLst/>
                    </a:prstGeom>
                  </pic:spPr>
                </pic:pic>
              </a:graphicData>
            </a:graphic>
          </wp:inline>
        </w:drawing>
      </w:r>
    </w:p>
    <w:p w:rsidR="0083408C" w:rsidRDefault="00000000">
      <w:pPr>
        <w:spacing w:after="160"/>
        <w:jc w:val="center"/>
      </w:pPr>
      <w:r>
        <w:rPr>
          <w:i/>
          <w:color w:val="606060"/>
          <w:sz w:val="16"/>
        </w:rPr>
        <w:t>Fig. 3. Diagrama de secuencia de una consulta. El bloque de recuperación ocurre una sola vez; el bucle de reintento vuelve a pedirle SQL al modelo con el mensaje de error delante, pero NO vuelve a recuperar contexto.</w:t>
      </w:r>
    </w:p>
    <w:p w:rsidR="0083408C" w:rsidRDefault="0083408C">
      <w:pPr>
        <w:sectPr w:rsidR="0083408C">
          <w:type w:val="continuous"/>
          <w:pgSz w:w="12240" w:h="15840"/>
          <w:pgMar w:top="1009" w:right="935" w:bottom="1009" w:left="935" w:header="720" w:footer="720" w:gutter="0"/>
          <w:cols w:space="288"/>
          <w:docGrid w:linePitch="360"/>
        </w:sectPr>
      </w:pPr>
    </w:p>
    <w:p w:rsidR="0083408C" w:rsidRDefault="00000000">
      <w:r>
        <w:t>Dos propiedades del flujo que la figura no muestra. Postgres y DuckDB nunca se cruzan en un JOIN: el recuperador devuelve textos y el SQL corre íntegramente en DuckDB, así que el almacén vectorial es fuente de contexto, no de datos. Y el RAG es estrictamente aditivo: si Postgres no responde, las fábricas devuelven None y el agente corre exactamente como el baseline, de modo que un fallo del RAG nunca tumba una consulta.</w:t>
      </w:r>
    </w:p>
    <w:p w:rsidR="0083408C" w:rsidRDefault="00000000">
      <w:pPr>
        <w:pStyle w:val="Heading2"/>
        <w:spacing w:before="160" w:after="40"/>
        <w:jc w:val="left"/>
      </w:pPr>
      <w:r>
        <w:rPr>
          <w:rFonts w:ascii="Times New Roman" w:hAnsi="Times New Roman"/>
          <w:b w:val="0"/>
          <w:i/>
          <w:sz w:val="20"/>
        </w:rPr>
        <w:t>I.  Metodología de evaluación</w:t>
      </w:r>
    </w:p>
    <w:p w:rsidR="0083408C" w:rsidRDefault="00000000">
      <w:r>
        <w:t>La métrica principal es execution accuracy [1]: se ejecutan el SQL de referencia y el generado y se comparan los resultados, no el texto, porque hay muchas formas correctas de escribir la misma consulta. La comparación redondea a dos decimales —para absorber el ruido de coma flotante y la presencia o ausencia de ROUND—, respeta el orden de las filas solo si el gold lleva ORDER BY, y cuenta como acierto la predicción que devuelve los valores del gold aunque traiga columnas descriptivas de más. La variante estricta de Spider/BIRD, que exige la tupla exacta, se reporta al lado y separa entre 9 y 11 preguntas de 50.</w:t>
      </w:r>
    </w:p>
    <w:p w:rsidR="0083408C" w:rsidRDefault="00000000">
      <w:r>
        <w:t>El banco tiene 76 pares pregunta→SQL escritos a mano y verificados contra los datos: 50 en el set de validación, con el que se corren todas las campañas, y 26 en un set de seguimiento con las preguntas más duras. Antes de cada campaña un dry-run ejecuta solo el SQL de referencia y falla si alguna consulta no corre o devuelve vacío, porque un gold sin filas convertiría la métrica en ruido.</w:t>
      </w:r>
    </w:p>
    <w:p w:rsidR="0083408C" w:rsidRDefault="00000000">
      <w:pPr>
        <w:keepNext/>
        <w:spacing w:before="160" w:after="40"/>
        <w:jc w:val="left"/>
      </w:pPr>
      <w:r>
        <w:rPr>
          <w:b/>
          <w:sz w:val="16"/>
        </w:rPr>
        <w:t>Tabla 8. Composición del conjunto de evaluación</w:t>
      </w:r>
    </w:p>
    <w:tbl>
      <w:tblPr>
        <w:tblStyle w:val="TableGrid"/>
        <w:tblW w:w="0" w:type="auto"/>
        <w:tblLook w:val="04A0" w:firstRow="1" w:lastRow="0" w:firstColumn="1" w:lastColumn="0" w:noHBand="0" w:noVBand="1"/>
      </w:tblPr>
      <w:tblGrid>
        <w:gridCol w:w="2058"/>
        <w:gridCol w:w="1853"/>
        <w:gridCol w:w="1346"/>
      </w:tblGrid>
      <w:tr w:rsidR="0083408C">
        <w:trPr>
          <w:tblHeader/>
        </w:trPr>
        <w:tc>
          <w:tcPr>
            <w:tcW w:w="3457" w:type="dxa"/>
            <w:shd w:val="clear" w:color="auto" w:fill="1F3864"/>
          </w:tcPr>
          <w:p w:rsidR="0083408C" w:rsidRDefault="00000000">
            <w:pPr>
              <w:spacing w:after="0"/>
              <w:jc w:val="left"/>
            </w:pPr>
            <w:r>
              <w:rPr>
                <w:b/>
                <w:color w:val="FFFFFF"/>
                <w:sz w:val="15"/>
              </w:rPr>
              <w:t>Categoría</w:t>
            </w:r>
          </w:p>
        </w:tc>
        <w:tc>
          <w:tcPr>
            <w:tcW w:w="3457" w:type="dxa"/>
            <w:shd w:val="clear" w:color="auto" w:fill="1F3864"/>
          </w:tcPr>
          <w:p w:rsidR="0083408C" w:rsidRDefault="00000000">
            <w:pPr>
              <w:spacing w:after="0"/>
              <w:jc w:val="left"/>
            </w:pPr>
            <w:r>
              <w:rPr>
                <w:b/>
                <w:color w:val="FFFFFF"/>
                <w:sz w:val="15"/>
              </w:rPr>
              <w:t>Qué mide</w:t>
            </w:r>
          </w:p>
        </w:tc>
        <w:tc>
          <w:tcPr>
            <w:tcW w:w="3457" w:type="dxa"/>
            <w:shd w:val="clear" w:color="auto" w:fill="1F3864"/>
          </w:tcPr>
          <w:p w:rsidR="0083408C" w:rsidRDefault="00000000">
            <w:pPr>
              <w:spacing w:after="0"/>
              <w:jc w:val="left"/>
            </w:pPr>
            <w:r>
              <w:rPr>
                <w:b/>
                <w:color w:val="FFFFFF"/>
                <w:sz w:val="15"/>
              </w:rPr>
              <w:t>n</w:t>
            </w:r>
          </w:p>
        </w:tc>
      </w:tr>
      <w:tr w:rsidR="0083408C">
        <w:trPr>
          <w:cantSplit/>
        </w:trPr>
        <w:tc>
          <w:tcPr>
            <w:tcW w:w="3457" w:type="dxa"/>
          </w:tcPr>
          <w:p w:rsidR="0083408C" w:rsidRDefault="00000000">
            <w:pPr>
              <w:spacing w:after="0"/>
              <w:jc w:val="left"/>
            </w:pPr>
            <w:r>
              <w:rPr>
                <w:b/>
                <w:sz w:val="15"/>
              </w:rPr>
              <w:t>agregacion_simple</w:t>
            </w:r>
          </w:p>
        </w:tc>
        <w:tc>
          <w:tcPr>
            <w:tcW w:w="3457" w:type="dxa"/>
          </w:tcPr>
          <w:p w:rsidR="0083408C" w:rsidRDefault="00000000">
            <w:pPr>
              <w:spacing w:after="0"/>
              <w:jc w:val="left"/>
            </w:pPr>
            <w:r>
              <w:rPr>
                <w:sz w:val="15"/>
              </w:rPr>
              <w:t>Sumas y conteos directos</w:t>
            </w:r>
          </w:p>
        </w:tc>
        <w:tc>
          <w:tcPr>
            <w:tcW w:w="3457" w:type="dxa"/>
          </w:tcPr>
          <w:p w:rsidR="0083408C" w:rsidRDefault="00000000">
            <w:pPr>
              <w:spacing w:after="0"/>
              <w:jc w:val="left"/>
            </w:pPr>
            <w:r>
              <w:rPr>
                <w:sz w:val="15"/>
              </w:rPr>
              <w:t>11</w:t>
            </w:r>
          </w:p>
        </w:tc>
      </w:tr>
      <w:tr w:rsidR="0083408C">
        <w:trPr>
          <w:cantSplit/>
        </w:trPr>
        <w:tc>
          <w:tcPr>
            <w:tcW w:w="3457" w:type="dxa"/>
            <w:shd w:val="clear" w:color="auto" w:fill="F2F4F8"/>
          </w:tcPr>
          <w:p w:rsidR="0083408C" w:rsidRDefault="00000000">
            <w:pPr>
              <w:spacing w:after="0"/>
              <w:jc w:val="left"/>
            </w:pPr>
            <w:r>
              <w:rPr>
                <w:b/>
                <w:sz w:val="15"/>
              </w:rPr>
              <w:t>temporal</w:t>
            </w:r>
          </w:p>
        </w:tc>
        <w:tc>
          <w:tcPr>
            <w:tcW w:w="3457" w:type="dxa"/>
            <w:shd w:val="clear" w:color="auto" w:fill="F2F4F8"/>
          </w:tcPr>
          <w:p w:rsidR="0083408C" w:rsidRDefault="00000000">
            <w:pPr>
              <w:spacing w:after="0"/>
              <w:jc w:val="left"/>
            </w:pPr>
            <w:r>
              <w:rPr>
                <w:sz w:val="15"/>
              </w:rPr>
              <w:t>Filtros y agrupaciones por período</w:t>
            </w:r>
          </w:p>
        </w:tc>
        <w:tc>
          <w:tcPr>
            <w:tcW w:w="3457" w:type="dxa"/>
            <w:shd w:val="clear" w:color="auto" w:fill="F2F4F8"/>
          </w:tcPr>
          <w:p w:rsidR="0083408C" w:rsidRDefault="00000000">
            <w:pPr>
              <w:spacing w:after="0"/>
              <w:jc w:val="left"/>
            </w:pPr>
            <w:r>
              <w:rPr>
                <w:sz w:val="15"/>
              </w:rPr>
              <w:t>10</w:t>
            </w:r>
          </w:p>
        </w:tc>
      </w:tr>
      <w:tr w:rsidR="0083408C">
        <w:trPr>
          <w:cantSplit/>
        </w:trPr>
        <w:tc>
          <w:tcPr>
            <w:tcW w:w="3457" w:type="dxa"/>
          </w:tcPr>
          <w:p w:rsidR="0083408C" w:rsidRDefault="00000000">
            <w:pPr>
              <w:spacing w:after="0"/>
              <w:jc w:val="left"/>
            </w:pPr>
            <w:r>
              <w:rPr>
                <w:b/>
                <w:sz w:val="15"/>
              </w:rPr>
              <w:t>tributario</w:t>
            </w:r>
          </w:p>
        </w:tc>
        <w:tc>
          <w:tcPr>
            <w:tcW w:w="3457" w:type="dxa"/>
          </w:tcPr>
          <w:p w:rsidR="0083408C" w:rsidRDefault="00000000">
            <w:pPr>
              <w:spacing w:after="0"/>
              <w:jc w:val="left"/>
            </w:pPr>
            <w:r>
              <w:rPr>
                <w:sz w:val="15"/>
              </w:rPr>
              <w:t>IGV, crédito y débito fiscal, detracciones</w:t>
            </w:r>
          </w:p>
        </w:tc>
        <w:tc>
          <w:tcPr>
            <w:tcW w:w="3457" w:type="dxa"/>
          </w:tcPr>
          <w:p w:rsidR="0083408C" w:rsidRDefault="00000000">
            <w:pPr>
              <w:spacing w:after="0"/>
              <w:jc w:val="left"/>
            </w:pPr>
            <w:r>
              <w:rPr>
                <w:sz w:val="15"/>
              </w:rPr>
              <w:t>7</w:t>
            </w:r>
          </w:p>
        </w:tc>
      </w:tr>
      <w:tr w:rsidR="0083408C">
        <w:trPr>
          <w:cantSplit/>
        </w:trPr>
        <w:tc>
          <w:tcPr>
            <w:tcW w:w="3457" w:type="dxa"/>
            <w:shd w:val="clear" w:color="auto" w:fill="F2F4F8"/>
          </w:tcPr>
          <w:p w:rsidR="0083408C" w:rsidRDefault="00000000">
            <w:pPr>
              <w:spacing w:after="0"/>
              <w:jc w:val="left"/>
            </w:pPr>
            <w:r>
              <w:rPr>
                <w:b/>
                <w:sz w:val="15"/>
              </w:rPr>
              <w:t>entidad</w:t>
            </w:r>
          </w:p>
        </w:tc>
        <w:tc>
          <w:tcPr>
            <w:tcW w:w="3457" w:type="dxa"/>
            <w:shd w:val="clear" w:color="auto" w:fill="F2F4F8"/>
          </w:tcPr>
          <w:p w:rsidR="0083408C" w:rsidRDefault="00000000">
            <w:pPr>
              <w:spacing w:after="0"/>
              <w:jc w:val="left"/>
            </w:pPr>
            <w:r>
              <w:rPr>
                <w:sz w:val="15"/>
              </w:rPr>
              <w:t>Proveedores, clientes y embarcaciones por nombre</w:t>
            </w:r>
          </w:p>
        </w:tc>
        <w:tc>
          <w:tcPr>
            <w:tcW w:w="3457" w:type="dxa"/>
            <w:shd w:val="clear" w:color="auto" w:fill="F2F4F8"/>
          </w:tcPr>
          <w:p w:rsidR="0083408C" w:rsidRDefault="00000000">
            <w:pPr>
              <w:spacing w:after="0"/>
              <w:jc w:val="left"/>
            </w:pPr>
            <w:r>
              <w:rPr>
                <w:sz w:val="15"/>
              </w:rPr>
              <w:t>13</w:t>
            </w:r>
          </w:p>
        </w:tc>
      </w:tr>
      <w:tr w:rsidR="0083408C">
        <w:trPr>
          <w:cantSplit/>
        </w:trPr>
        <w:tc>
          <w:tcPr>
            <w:tcW w:w="3457" w:type="dxa"/>
          </w:tcPr>
          <w:p w:rsidR="0083408C" w:rsidRDefault="00000000">
            <w:pPr>
              <w:spacing w:after="0"/>
              <w:jc w:val="left"/>
            </w:pPr>
            <w:r>
              <w:rPr>
                <w:b/>
                <w:sz w:val="15"/>
              </w:rPr>
              <w:t>cuenta_contable</w:t>
            </w:r>
          </w:p>
        </w:tc>
        <w:tc>
          <w:tcPr>
            <w:tcW w:w="3457" w:type="dxa"/>
          </w:tcPr>
          <w:p w:rsidR="0083408C" w:rsidRDefault="00000000">
            <w:pPr>
              <w:spacing w:after="0"/>
              <w:jc w:val="left"/>
            </w:pPr>
            <w:r>
              <w:rPr>
                <w:sz w:val="15"/>
              </w:rPr>
              <w:t>Familias del plan de cuentas y cuentas con su nombre real</w:t>
            </w:r>
          </w:p>
        </w:tc>
        <w:tc>
          <w:tcPr>
            <w:tcW w:w="3457" w:type="dxa"/>
          </w:tcPr>
          <w:p w:rsidR="0083408C" w:rsidRDefault="00000000">
            <w:pPr>
              <w:spacing w:after="0"/>
              <w:jc w:val="left"/>
            </w:pPr>
            <w:r>
              <w:rPr>
                <w:sz w:val="15"/>
              </w:rPr>
              <w:t>12</w:t>
            </w:r>
          </w:p>
        </w:tc>
      </w:tr>
      <w:tr w:rsidR="0083408C">
        <w:trPr>
          <w:cantSplit/>
        </w:trPr>
        <w:tc>
          <w:tcPr>
            <w:tcW w:w="3457" w:type="dxa"/>
            <w:shd w:val="clear" w:color="auto" w:fill="F2F4F8"/>
          </w:tcPr>
          <w:p w:rsidR="0083408C" w:rsidRDefault="00000000">
            <w:pPr>
              <w:spacing w:after="0"/>
              <w:jc w:val="left"/>
            </w:pPr>
            <w:r>
              <w:rPr>
                <w:b/>
                <w:sz w:val="15"/>
              </w:rPr>
              <w:t>glosa</w:t>
            </w:r>
          </w:p>
        </w:tc>
        <w:tc>
          <w:tcPr>
            <w:tcW w:w="3457" w:type="dxa"/>
            <w:shd w:val="clear" w:color="auto" w:fill="F2F4F8"/>
          </w:tcPr>
          <w:p w:rsidR="0083408C" w:rsidRDefault="00000000">
            <w:pPr>
              <w:spacing w:after="0"/>
              <w:jc w:val="left"/>
            </w:pPr>
            <w:r>
              <w:rPr>
                <w:sz w:val="15"/>
              </w:rPr>
              <w:t>Conceptos que solo viven en el texto libre</w:t>
            </w:r>
          </w:p>
        </w:tc>
        <w:tc>
          <w:tcPr>
            <w:tcW w:w="3457" w:type="dxa"/>
            <w:shd w:val="clear" w:color="auto" w:fill="F2F4F8"/>
          </w:tcPr>
          <w:p w:rsidR="0083408C" w:rsidRDefault="00000000">
            <w:pPr>
              <w:spacing w:after="0"/>
              <w:jc w:val="left"/>
            </w:pPr>
            <w:r>
              <w:rPr>
                <w:sz w:val="15"/>
              </w:rPr>
              <w:t>15</w:t>
            </w:r>
          </w:p>
        </w:tc>
      </w:tr>
      <w:tr w:rsidR="0083408C">
        <w:trPr>
          <w:cantSplit/>
        </w:trPr>
        <w:tc>
          <w:tcPr>
            <w:tcW w:w="3457" w:type="dxa"/>
          </w:tcPr>
          <w:p w:rsidR="0083408C" w:rsidRDefault="00000000">
            <w:pPr>
              <w:spacing w:after="0"/>
              <w:jc w:val="left"/>
            </w:pPr>
            <w:r>
              <w:rPr>
                <w:b/>
                <w:sz w:val="15"/>
              </w:rPr>
              <w:t>comparativa</w:t>
            </w:r>
          </w:p>
        </w:tc>
        <w:tc>
          <w:tcPr>
            <w:tcW w:w="3457" w:type="dxa"/>
          </w:tcPr>
          <w:p w:rsidR="0083408C" w:rsidRDefault="00000000">
            <w:pPr>
              <w:spacing w:after="0"/>
              <w:jc w:val="left"/>
            </w:pPr>
            <w:r>
              <w:rPr>
                <w:sz w:val="15"/>
              </w:rPr>
              <w:t>Cruces entre compras y ventas</w:t>
            </w:r>
          </w:p>
        </w:tc>
        <w:tc>
          <w:tcPr>
            <w:tcW w:w="3457" w:type="dxa"/>
          </w:tcPr>
          <w:p w:rsidR="0083408C" w:rsidRDefault="00000000">
            <w:pPr>
              <w:spacing w:after="0"/>
              <w:jc w:val="left"/>
            </w:pPr>
            <w:r>
              <w:rPr>
                <w:sz w:val="15"/>
              </w:rPr>
              <w:t>4</w:t>
            </w:r>
          </w:p>
        </w:tc>
      </w:tr>
      <w:tr w:rsidR="0083408C">
        <w:trPr>
          <w:cantSplit/>
        </w:trPr>
        <w:tc>
          <w:tcPr>
            <w:tcW w:w="3457" w:type="dxa"/>
            <w:shd w:val="clear" w:color="auto" w:fill="F2F4F8"/>
          </w:tcPr>
          <w:p w:rsidR="0083408C" w:rsidRDefault="00000000">
            <w:pPr>
              <w:spacing w:after="0"/>
              <w:jc w:val="left"/>
            </w:pPr>
            <w:r>
              <w:rPr>
                <w:b/>
                <w:sz w:val="15"/>
              </w:rPr>
              <w:t>conciliacion</w:t>
            </w:r>
          </w:p>
        </w:tc>
        <w:tc>
          <w:tcPr>
            <w:tcW w:w="3457" w:type="dxa"/>
            <w:shd w:val="clear" w:color="auto" w:fill="F2F4F8"/>
          </w:tcPr>
          <w:p w:rsidR="0083408C" w:rsidRDefault="00000000">
            <w:pPr>
              <w:spacing w:after="0"/>
              <w:jc w:val="left"/>
            </w:pPr>
            <w:r>
              <w:rPr>
                <w:sz w:val="15"/>
              </w:rPr>
              <w:t>Declarado frente a lo que propone SUNAT</w:t>
            </w:r>
          </w:p>
        </w:tc>
        <w:tc>
          <w:tcPr>
            <w:tcW w:w="3457" w:type="dxa"/>
            <w:shd w:val="clear" w:color="auto" w:fill="F2F4F8"/>
          </w:tcPr>
          <w:p w:rsidR="0083408C" w:rsidRDefault="00000000">
            <w:pPr>
              <w:spacing w:after="0"/>
              <w:jc w:val="left"/>
            </w:pPr>
            <w:r>
              <w:rPr>
                <w:sz w:val="15"/>
              </w:rPr>
              <w:t>4</w:t>
            </w:r>
          </w:p>
        </w:tc>
      </w:tr>
      <w:tr w:rsidR="0083408C">
        <w:trPr>
          <w:cantSplit/>
        </w:trPr>
        <w:tc>
          <w:tcPr>
            <w:tcW w:w="3457" w:type="dxa"/>
          </w:tcPr>
          <w:p w:rsidR="0083408C" w:rsidRDefault="00000000">
            <w:pPr>
              <w:spacing w:after="0"/>
              <w:jc w:val="left"/>
            </w:pPr>
            <w:r>
              <w:rPr>
                <w:b/>
                <w:sz w:val="15"/>
              </w:rPr>
              <w:t>TOTAL</w:t>
            </w:r>
          </w:p>
        </w:tc>
        <w:tc>
          <w:tcPr>
            <w:tcW w:w="3457" w:type="dxa"/>
          </w:tcPr>
          <w:p w:rsidR="0083408C" w:rsidRDefault="0083408C">
            <w:pPr>
              <w:spacing w:after="0"/>
              <w:jc w:val="left"/>
            </w:pPr>
          </w:p>
        </w:tc>
        <w:tc>
          <w:tcPr>
            <w:tcW w:w="3457" w:type="dxa"/>
          </w:tcPr>
          <w:p w:rsidR="0083408C" w:rsidRDefault="00000000">
            <w:pPr>
              <w:spacing w:after="0"/>
              <w:jc w:val="left"/>
            </w:pPr>
            <w:r>
              <w:rPr>
                <w:sz w:val="15"/>
              </w:rPr>
              <w:t>76</w:t>
            </w:r>
          </w:p>
        </w:tc>
      </w:tr>
    </w:tbl>
    <w:p w:rsidR="0083408C" w:rsidRDefault="00000000">
      <w:pPr>
        <w:spacing w:before="40" w:after="160"/>
        <w:jc w:val="left"/>
      </w:pPr>
      <w:r>
        <w:rPr>
          <w:i/>
          <w:sz w:val="15"/>
        </w:rPr>
        <w:t>Composición del banco completo. El set creció de 48 a 56 al rediseñar la categoría glosa (7 → 15) y de 56 a 76 al ampliar el esquema, con las cuatro de conciliación como categoría nueva. Las corridas de 48, las de 56 y las de 50 NO son comparables entre sí y van en tablas separadas.</w:t>
      </w:r>
    </w:p>
    <w:p w:rsidR="0083408C" w:rsidRDefault="00000000">
      <w:r>
        <w:t>Las veinte preguntas añadidas miden lo que el esquema ampliado habilita —varias son trampas construidas sobre las ambigüedades de la sección V-B— y las ocho últimas cierran las cuatro tablas que ninguna pregunta tocaba. Cada componente se activa por una variable de entorno independiente —con todo apagado, el agente es literalmente el baseline— y cada corrida deja un artefacto JSON con el detalle por pregunta: SQL de referencia, SQL generado, veredicto, motivo, intentos, tiempo, modelo y tokens consumidos [21]. Todas las cifras de resultados salen de esos artefactos.</w:t>
      </w:r>
    </w:p>
    <w:p w:rsidR="0083408C" w:rsidRDefault="00000000">
      <w:pPr>
        <w:pStyle w:val="Heading3"/>
        <w:spacing w:before="120" w:after="20"/>
        <w:jc w:val="left"/>
      </w:pPr>
      <w:r>
        <w:rPr>
          <w:rFonts w:ascii="Times New Roman" w:hAnsi="Times New Roman"/>
          <w:b w:val="0"/>
          <w:i/>
          <w:color w:val="333333"/>
          <w:sz w:val="19"/>
        </w:rPr>
        <w:t>1)  Validez de constructo: el gold de la categoría glosa estaba mal</w:t>
      </w:r>
    </w:p>
    <w:p w:rsidR="0083408C" w:rsidRDefault="00000000">
      <w:r>
        <w:t xml:space="preserve">Las siete preguntas de glosa del set original tenían su gold definido con un filtro léxico simple —q37, </w:t>
      </w:r>
      <w:r>
        <w:rPr>
          <w:i/>
        </w:rPr>
        <w:t>¿cuánto se aportó a las AFP?</w:t>
      </w:r>
      <w:r>
        <w:t xml:space="preserve">, era literalmente WHERE glosa ILIKE '%AFP%'—, es decir, la respuesta correcta por construcción </w:t>
      </w:r>
      <w:r>
        <w:lastRenderedPageBreak/>
        <w:t>era la que produce un filtro de palabra clave, que es justo lo que ya hacía el baseline. Cualquier cosa que la búsqueda semántica aportara de más se contaba como error: la categoría no podía premiar la semántica porque estaba escrita en el lenguaje del baseline, y el instrumento no medía lo que decía medir.</w:t>
      </w:r>
    </w:p>
    <w:p w:rsidR="0083408C" w:rsidRDefault="00000000">
      <w:r>
        <w:t>Se rediseñó el instrumento con ocho preguntas nuevas cuyo gold es un conjunto de variantes que ningún patrón único expresa, construido a partir del vocabulario real de las glosas de esta empresa:</w:t>
      </w:r>
    </w:p>
    <w:p w:rsidR="0083408C" w:rsidRDefault="00000000">
      <w:pPr>
        <w:keepLines/>
        <w:pBdr>
          <w:top w:val="single" w:sz="4" w:space="3" w:color="DDDDDD"/>
          <w:left w:val="single" w:sz="4" w:space="3" w:color="DDDDDD"/>
          <w:bottom w:val="single" w:sz="4" w:space="3" w:color="DDDDDD"/>
          <w:right w:val="single" w:sz="4" w:space="3" w:color="DDDDDD"/>
        </w:pBdr>
        <w:shd w:val="clear" w:color="auto" w:fill="F4F5F7"/>
        <w:spacing w:before="60" w:after="100"/>
        <w:ind w:left="68"/>
        <w:jc w:val="left"/>
      </w:pPr>
      <w:r>
        <w:rPr>
          <w:rFonts w:ascii="Consolas" w:hAnsi="Consolas" w:cs="Consolas"/>
          <w:sz w:val="14"/>
        </w:rPr>
        <w:t>q50  ¿cuánto se gastó en artes de pesca?</w:t>
      </w:r>
      <w:r>
        <w:rPr>
          <w:rFonts w:ascii="Consolas" w:hAnsi="Consolas" w:cs="Consolas"/>
          <w:sz w:val="14"/>
        </w:rPr>
        <w:br/>
        <w:t xml:space="preserve">     WHERE glosa ILIKE '%NYLON%'</w:t>
      </w:r>
      <w:r>
        <w:rPr>
          <w:rFonts w:ascii="Consolas" w:hAnsi="Consolas" w:cs="Consolas"/>
          <w:sz w:val="14"/>
        </w:rPr>
        <w:br/>
        <w:t xml:space="preserve">        OR glosa ILIKE '%CABO %'</w:t>
      </w:r>
      <w:r>
        <w:rPr>
          <w:rFonts w:ascii="Consolas" w:hAnsi="Consolas" w:cs="Consolas"/>
          <w:sz w:val="14"/>
        </w:rPr>
        <w:br/>
        <w:t xml:space="preserve">        OR glosa ILIKE '%HILO%'</w:t>
      </w:r>
      <w:r>
        <w:rPr>
          <w:rFonts w:ascii="Consolas" w:hAnsi="Consolas" w:cs="Consolas"/>
          <w:sz w:val="14"/>
        </w:rPr>
        <w:br/>
        <w:t xml:space="preserve">        OR glosa ILIKE '%PAÑO%'</w:t>
      </w:r>
      <w:r>
        <w:rPr>
          <w:rFonts w:ascii="Consolas" w:hAnsi="Consolas" w:cs="Consolas"/>
          <w:sz w:val="14"/>
        </w:rPr>
        <w:br/>
        <w:t xml:space="preserve">        OR glosa ILIKE '%DRIZZA%'</w:t>
      </w:r>
      <w:r>
        <w:rPr>
          <w:rFonts w:ascii="Consolas" w:hAnsi="Consolas" w:cs="Consolas"/>
          <w:sz w:val="14"/>
        </w:rPr>
        <w:br/>
        <w:t xml:space="preserve">        OR glosa ILIKE '%FLOTADOR%'</w:t>
      </w:r>
    </w:p>
    <w:p w:rsidR="0083408C" w:rsidRDefault="00000000">
      <w:r>
        <w:t>Estas preguntas exigen conocer el vocabulario del dominio —que un varadero y un astillero son lo mismo a efectos de gasto— y ninguna palabra de la pregunta aparece en las glosas. La categoría pasó de 7 a 15 preguntas y el set de 48 a 56, así que ambos conjuntos dejan de ser comparables. Conviene anticipar la tensión que la sección VI-C desarrolla: con golds multi-variante la execution accuracy se vuelve severa, porque exige que el conjunto de raíces del modelo coincida en resultado con el del anotador.</w:t>
      </w:r>
    </w:p>
    <w:p w:rsidR="0083408C" w:rsidRDefault="00000000">
      <w:pPr>
        <w:pStyle w:val="Heading1"/>
        <w:spacing w:before="200" w:after="80"/>
        <w:jc w:val="center"/>
      </w:pPr>
      <w:r>
        <w:rPr>
          <w:rFonts w:ascii="Times New Roman" w:hAnsi="Times New Roman"/>
          <w:smallCaps/>
          <w:sz w:val="20"/>
        </w:rPr>
        <w:t>VI.  Resultados</w:t>
      </w:r>
    </w:p>
    <w:p w:rsidR="0083408C" w:rsidRDefault="00000000">
      <w:pPr>
        <w:pStyle w:val="Heading2"/>
        <w:spacing w:before="160" w:after="40"/>
        <w:jc w:val="left"/>
      </w:pPr>
      <w:r>
        <w:rPr>
          <w:rFonts w:ascii="Times New Roman" w:hAnsi="Times New Roman"/>
          <w:b w:val="0"/>
          <w:i/>
          <w:sz w:val="20"/>
        </w:rPr>
        <w:t>A.  Alcance de lo medido y validez de la medición</w:t>
      </w:r>
    </w:p>
    <w:p w:rsidR="0083408C" w:rsidRDefault="00000000">
      <w:r>
        <w:t>Se reportan tres campañas y sus cifras no son intercambiables. La ablación de los recuperadores (VI-B y VI-C) se midió sobre el esquema de tres tablas, con el diccionario PCGE anterior y con la base que arrastraba los duplicados de compras; la auditoría de golds y el refactor contable (VI-D), sobre el conjunto de 50 preguntas y el esquema vigente; la selección de modelo (VI-F), sobre esa misma configuración. Ninguna cifra se reescribe ni se recalcula: cada tabla declara con qué se midió.</w:t>
      </w:r>
    </w:p>
    <w:p w:rsidR="0083408C" w:rsidRDefault="00000000">
      <w:r>
        <w:t>Antes de leer cualquier diferencia hay que saber cuánto vale el ruido. Una CORRIDA es una pasada completa del harness sobre todo el conjunto con una configuración congelada, y dos corridas idénticas mueven entre 2 y 4 veredictos sobre 50 preguntas: nada por debajo de tres preguntas —seis puntos— es interpretable. De ahí la norma que gobierna todas las tablas: dos corridas por configuración, o no se reporta. Ese suelo se ganó a pulso, porque las primeras ablaciones corrieron con la temperatura por defecto del endpoint, donde dos corridas del mismo código movían del orden de siete preguntas de cuarenta y ocho.</w:t>
      </w:r>
    </w:p>
    <w:p w:rsidR="0083408C" w:rsidRDefault="00000000">
      <w:pPr>
        <w:keepNext/>
        <w:spacing w:before="160" w:after="40"/>
        <w:jc w:val="left"/>
      </w:pPr>
      <w:r>
        <w:rPr>
          <w:b/>
          <w:sz w:val="16"/>
        </w:rPr>
        <w:t>Tabla 9. Barrido de temperatura sobre el baseline (n = 48)</w:t>
      </w:r>
    </w:p>
    <w:tbl>
      <w:tblPr>
        <w:tblStyle w:val="TableGrid"/>
        <w:tblW w:w="0" w:type="auto"/>
        <w:tblLook w:val="04A0" w:firstRow="1" w:lastRow="0" w:firstColumn="1" w:lastColumn="0" w:noHBand="0" w:noVBand="1"/>
      </w:tblPr>
      <w:tblGrid>
        <w:gridCol w:w="1952"/>
        <w:gridCol w:w="1689"/>
        <w:gridCol w:w="1616"/>
      </w:tblGrid>
      <w:tr w:rsidR="0083408C">
        <w:trPr>
          <w:tblHeader/>
        </w:trPr>
        <w:tc>
          <w:tcPr>
            <w:tcW w:w="3457" w:type="dxa"/>
            <w:shd w:val="clear" w:color="auto" w:fill="1F3864"/>
          </w:tcPr>
          <w:p w:rsidR="0083408C" w:rsidRDefault="00000000">
            <w:pPr>
              <w:spacing w:after="0"/>
              <w:jc w:val="left"/>
            </w:pPr>
            <w:r>
              <w:rPr>
                <w:b/>
                <w:color w:val="FFFFFF"/>
                <w:sz w:val="15"/>
              </w:rPr>
              <w:t>Temperatura</w:t>
            </w:r>
          </w:p>
        </w:tc>
        <w:tc>
          <w:tcPr>
            <w:tcW w:w="3457" w:type="dxa"/>
            <w:shd w:val="clear" w:color="auto" w:fill="1F3864"/>
          </w:tcPr>
          <w:p w:rsidR="0083408C" w:rsidRDefault="00000000">
            <w:pPr>
              <w:spacing w:after="0"/>
              <w:jc w:val="left"/>
            </w:pPr>
            <w:r>
              <w:rPr>
                <w:b/>
                <w:color w:val="FFFFFF"/>
                <w:sz w:val="15"/>
              </w:rPr>
              <w:t>Exec. acc.</w:t>
            </w:r>
          </w:p>
        </w:tc>
        <w:tc>
          <w:tcPr>
            <w:tcW w:w="3457" w:type="dxa"/>
            <w:shd w:val="clear" w:color="auto" w:fill="1F3864"/>
          </w:tcPr>
          <w:p w:rsidR="0083408C" w:rsidRDefault="00000000">
            <w:pPr>
              <w:spacing w:after="0"/>
              <w:jc w:val="left"/>
            </w:pPr>
            <w:r>
              <w:rPr>
                <w:b/>
                <w:color w:val="FFFFFF"/>
                <w:sz w:val="15"/>
              </w:rPr>
              <w:t>Cat. glosa</w:t>
            </w:r>
          </w:p>
        </w:tc>
      </w:tr>
      <w:tr w:rsidR="0083408C">
        <w:trPr>
          <w:cantSplit/>
        </w:trPr>
        <w:tc>
          <w:tcPr>
            <w:tcW w:w="3457" w:type="dxa"/>
          </w:tcPr>
          <w:p w:rsidR="0083408C" w:rsidRDefault="00000000">
            <w:pPr>
              <w:spacing w:after="0"/>
              <w:jc w:val="left"/>
            </w:pPr>
            <w:r>
              <w:rPr>
                <w:b/>
                <w:sz w:val="15"/>
              </w:rPr>
              <w:t>por defecto del endpoint</w:t>
            </w:r>
          </w:p>
        </w:tc>
        <w:tc>
          <w:tcPr>
            <w:tcW w:w="3457" w:type="dxa"/>
          </w:tcPr>
          <w:p w:rsidR="0083408C" w:rsidRDefault="00000000">
            <w:pPr>
              <w:spacing w:after="0"/>
              <w:jc w:val="left"/>
            </w:pPr>
            <w:r>
              <w:rPr>
                <w:sz w:val="15"/>
              </w:rPr>
              <w:t>85,4 % (41/48)</w:t>
            </w:r>
          </w:p>
        </w:tc>
        <w:tc>
          <w:tcPr>
            <w:tcW w:w="3457" w:type="dxa"/>
          </w:tcPr>
          <w:p w:rsidR="0083408C" w:rsidRDefault="00000000">
            <w:pPr>
              <w:spacing w:after="0"/>
              <w:jc w:val="left"/>
            </w:pPr>
            <w:r>
              <w:rPr>
                <w:sz w:val="15"/>
              </w:rPr>
              <w:t>3/7</w:t>
            </w:r>
          </w:p>
        </w:tc>
      </w:tr>
      <w:tr w:rsidR="0083408C">
        <w:trPr>
          <w:cantSplit/>
        </w:trPr>
        <w:tc>
          <w:tcPr>
            <w:tcW w:w="3457" w:type="dxa"/>
            <w:shd w:val="clear" w:color="auto" w:fill="F2F4F8"/>
          </w:tcPr>
          <w:p w:rsidR="0083408C" w:rsidRDefault="00000000">
            <w:pPr>
              <w:spacing w:after="0"/>
              <w:jc w:val="left"/>
            </w:pPr>
            <w:r>
              <w:rPr>
                <w:b/>
                <w:sz w:val="15"/>
              </w:rPr>
              <w:t>0,7</w:t>
            </w:r>
          </w:p>
        </w:tc>
        <w:tc>
          <w:tcPr>
            <w:tcW w:w="3457" w:type="dxa"/>
            <w:shd w:val="clear" w:color="auto" w:fill="F2F4F8"/>
          </w:tcPr>
          <w:p w:rsidR="0083408C" w:rsidRDefault="00000000">
            <w:pPr>
              <w:spacing w:after="0"/>
              <w:jc w:val="left"/>
            </w:pPr>
            <w:r>
              <w:rPr>
                <w:sz w:val="15"/>
              </w:rPr>
              <w:t>85,4 % (41/48)</w:t>
            </w:r>
          </w:p>
        </w:tc>
        <w:tc>
          <w:tcPr>
            <w:tcW w:w="3457" w:type="dxa"/>
            <w:shd w:val="clear" w:color="auto" w:fill="F2F4F8"/>
          </w:tcPr>
          <w:p w:rsidR="0083408C" w:rsidRDefault="00000000">
            <w:pPr>
              <w:spacing w:after="0"/>
              <w:jc w:val="left"/>
            </w:pPr>
            <w:r>
              <w:rPr>
                <w:sz w:val="15"/>
              </w:rPr>
              <w:t>2/7</w:t>
            </w:r>
          </w:p>
        </w:tc>
      </w:tr>
      <w:tr w:rsidR="0083408C">
        <w:trPr>
          <w:cantSplit/>
        </w:trPr>
        <w:tc>
          <w:tcPr>
            <w:tcW w:w="3457" w:type="dxa"/>
          </w:tcPr>
          <w:p w:rsidR="0083408C" w:rsidRDefault="00000000">
            <w:pPr>
              <w:spacing w:after="0"/>
              <w:jc w:val="left"/>
            </w:pPr>
            <w:r>
              <w:rPr>
                <w:b/>
                <w:sz w:val="15"/>
              </w:rPr>
              <w:t>0,3</w:t>
            </w:r>
          </w:p>
        </w:tc>
        <w:tc>
          <w:tcPr>
            <w:tcW w:w="3457" w:type="dxa"/>
          </w:tcPr>
          <w:p w:rsidR="0083408C" w:rsidRDefault="00000000">
            <w:pPr>
              <w:spacing w:after="0"/>
              <w:jc w:val="left"/>
            </w:pPr>
            <w:r>
              <w:rPr>
                <w:sz w:val="15"/>
              </w:rPr>
              <w:t>85,4 % (41/48)</w:t>
            </w:r>
          </w:p>
        </w:tc>
        <w:tc>
          <w:tcPr>
            <w:tcW w:w="3457" w:type="dxa"/>
          </w:tcPr>
          <w:p w:rsidR="0083408C" w:rsidRDefault="00000000">
            <w:pPr>
              <w:spacing w:after="0"/>
              <w:jc w:val="left"/>
            </w:pPr>
            <w:r>
              <w:rPr>
                <w:sz w:val="15"/>
              </w:rPr>
              <w:t>3/7</w:t>
            </w:r>
          </w:p>
        </w:tc>
      </w:tr>
      <w:tr w:rsidR="0083408C">
        <w:trPr>
          <w:cantSplit/>
        </w:trPr>
        <w:tc>
          <w:tcPr>
            <w:tcW w:w="3457" w:type="dxa"/>
            <w:shd w:val="clear" w:color="auto" w:fill="F2F4F8"/>
          </w:tcPr>
          <w:p w:rsidR="0083408C" w:rsidRDefault="00000000">
            <w:pPr>
              <w:spacing w:after="0"/>
              <w:jc w:val="left"/>
            </w:pPr>
            <w:r>
              <w:rPr>
                <w:b/>
                <w:sz w:val="15"/>
              </w:rPr>
              <w:t>0</w:t>
            </w:r>
          </w:p>
        </w:tc>
        <w:tc>
          <w:tcPr>
            <w:tcW w:w="3457" w:type="dxa"/>
            <w:shd w:val="clear" w:color="auto" w:fill="F2F4F8"/>
          </w:tcPr>
          <w:p w:rsidR="0083408C" w:rsidRDefault="00000000">
            <w:pPr>
              <w:spacing w:after="0"/>
              <w:jc w:val="left"/>
            </w:pPr>
            <w:r>
              <w:rPr>
                <w:sz w:val="15"/>
              </w:rPr>
              <w:t>89,6 % (43/48)</w:t>
            </w:r>
          </w:p>
        </w:tc>
        <w:tc>
          <w:tcPr>
            <w:tcW w:w="3457" w:type="dxa"/>
            <w:shd w:val="clear" w:color="auto" w:fill="F2F4F8"/>
          </w:tcPr>
          <w:p w:rsidR="0083408C" w:rsidRDefault="00000000">
            <w:pPr>
              <w:spacing w:after="0"/>
              <w:jc w:val="left"/>
            </w:pPr>
            <w:r>
              <w:rPr>
                <w:sz w:val="15"/>
              </w:rPr>
              <w:t>4/7</w:t>
            </w:r>
          </w:p>
        </w:tc>
      </w:tr>
    </w:tbl>
    <w:p w:rsidR="0083408C" w:rsidRDefault="00000000">
      <w:pPr>
        <w:spacing w:before="40" w:after="160"/>
        <w:jc w:val="left"/>
      </w:pPr>
      <w:r>
        <w:rPr>
          <w:i/>
          <w:sz w:val="15"/>
        </w:rPr>
        <w:t>Mismo agente, mismo set, mismo prompt: la única variable es el muestreo. La categoría glosa es la más sensible, coherente con que su acierto dependa de elegir bien una raíz léxica. Artefactos baseline*.json. configuración medida: esquema de 3 tablas · diccionario PCGE de 176 fichas · base con los duplicados de compras (9.960 filas).</w:t>
      </w:r>
    </w:p>
    <w:p w:rsidR="0083408C" w:rsidRDefault="00000000">
      <w:r>
        <w:t>El resultado más rentable de la campaña, por tanto, no vino del RAG: fijar temperatura 0 subió el baseline 4,2 puntos —de 41/48 a 43/48— sin tocar el agente. La segunda amenaza es de infraestructura —el endpoint devuelve errores transitorios que el harness contaba como fallo del agente, y una corrida llegó a marcar 64,6 % porque una caída se llevó ocho preguntas—, corregida distinguiéndolos en el cliente. En un sistema con un LLM detrás de una red, parte de la varianza no es del sistema evaluado, y si no se aísla se atribuye a un componente de NLP lo que era una caída de red.</w:t>
      </w:r>
    </w:p>
    <w:p w:rsidR="0083408C" w:rsidRDefault="00000000">
      <w:pPr>
        <w:pStyle w:val="Heading2"/>
        <w:spacing w:before="160" w:after="40"/>
        <w:jc w:val="left"/>
      </w:pPr>
      <w:r>
        <w:rPr>
          <w:rFonts w:ascii="Times New Roman" w:hAnsi="Times New Roman"/>
          <w:b w:val="0"/>
          <w:i/>
          <w:sz w:val="20"/>
        </w:rPr>
        <w:t>B.  Ablación de los dos recuperadores</w:t>
      </w:r>
    </w:p>
    <w:p w:rsidR="0083408C" w:rsidRDefault="00000000">
      <w:r>
        <w:t xml:space="preserve">La campaña de 48 preguntas dejó tres resultados que condicionaron todo el diseño posterior. El primero: el tamaño del top-k invierte el comportamiento del modelo —con k = 8 la corrida cae muy por debajo del baseline, porque con una lista corta el modelo la trata como exhaustiva y sustituye un ILIKE que ya funcionaba por una enumeración con IN; con k = 40 conservaba el ILIKE y solo añadía extras—, y es lo que motivó rediseñar la integración como bloque de vocabulario. El segundo: el número de reglas recuperadas es crítico, porque con 10 se perdían las que citan libro_mayor_wide y el agente pedía aclaración por falta de tabla, mientras que con 14 de las 24 se alcanza paridad con el baseline; de ahí el rescate </w:t>
      </w:r>
      <w:r>
        <w:rPr>
          <w:i/>
        </w:rPr>
        <w:t>la regla arrastra a su tabla</w:t>
      </w:r>
      <w:r>
        <w:t>. El tercero: el RAG de catálogo no mejoró la precisión (87,5 % (42/48) frente a 89,6 % (43/48) del baseline), y con tres tablas no tenía por qué; lo que hacía era dejar de pagar el catálogo entero en cada llamada, con una reducción de prompt del 12,6 % de mediana. Su valor estaba declaradamente en la pendiente, no en el punto (sección VI-G).</w:t>
      </w:r>
    </w:p>
    <w:p w:rsidR="0083408C" w:rsidRDefault="00000000">
      <w:r>
        <w:t>Sobre el conjunto rediseñado de 56 preguntas, ya con temperatura 0 y con las glosas integradas como bloque de vocabulario:</w:t>
      </w:r>
    </w:p>
    <w:p w:rsidR="0083408C" w:rsidRDefault="00000000">
      <w:pPr>
        <w:keepNext/>
        <w:spacing w:before="160" w:after="40"/>
        <w:jc w:val="left"/>
      </w:pPr>
      <w:r>
        <w:rPr>
          <w:b/>
          <w:sz w:val="16"/>
        </w:rPr>
        <w:t>Tabla 10. Ablaciones sobre el conjunto de 56 preguntas</w:t>
      </w:r>
    </w:p>
    <w:tbl>
      <w:tblPr>
        <w:tblStyle w:val="TableGrid"/>
        <w:tblW w:w="0" w:type="auto"/>
        <w:tblLook w:val="04A0" w:firstRow="1" w:lastRow="0" w:firstColumn="1" w:lastColumn="0" w:noHBand="0" w:noVBand="1"/>
      </w:tblPr>
      <w:tblGrid>
        <w:gridCol w:w="1708"/>
        <w:gridCol w:w="1934"/>
        <w:gridCol w:w="1615"/>
      </w:tblGrid>
      <w:tr w:rsidR="0083408C">
        <w:trPr>
          <w:tblHeader/>
        </w:trPr>
        <w:tc>
          <w:tcPr>
            <w:tcW w:w="3457" w:type="dxa"/>
            <w:shd w:val="clear" w:color="auto" w:fill="1F3864"/>
          </w:tcPr>
          <w:p w:rsidR="0083408C" w:rsidRDefault="00000000">
            <w:pPr>
              <w:spacing w:after="0"/>
              <w:jc w:val="left"/>
            </w:pPr>
            <w:r>
              <w:rPr>
                <w:b/>
                <w:color w:val="FFFFFF"/>
                <w:sz w:val="15"/>
              </w:rPr>
              <w:t>Corrida</w:t>
            </w:r>
          </w:p>
        </w:tc>
        <w:tc>
          <w:tcPr>
            <w:tcW w:w="3457" w:type="dxa"/>
            <w:shd w:val="clear" w:color="auto" w:fill="1F3864"/>
          </w:tcPr>
          <w:p w:rsidR="0083408C" w:rsidRDefault="00000000">
            <w:pPr>
              <w:spacing w:after="0"/>
              <w:jc w:val="left"/>
            </w:pPr>
            <w:r>
              <w:rPr>
                <w:b/>
                <w:color w:val="FFFFFF"/>
                <w:sz w:val="15"/>
              </w:rPr>
              <w:t>Configuración</w:t>
            </w:r>
          </w:p>
        </w:tc>
        <w:tc>
          <w:tcPr>
            <w:tcW w:w="3457" w:type="dxa"/>
            <w:shd w:val="clear" w:color="auto" w:fill="1F3864"/>
          </w:tcPr>
          <w:p w:rsidR="0083408C" w:rsidRDefault="00000000">
            <w:pPr>
              <w:spacing w:after="0"/>
              <w:jc w:val="left"/>
            </w:pPr>
            <w:r>
              <w:rPr>
                <w:b/>
                <w:color w:val="FFFFFF"/>
                <w:sz w:val="15"/>
              </w:rPr>
              <w:t>Exec. acc.</w:t>
            </w:r>
          </w:p>
        </w:tc>
      </w:tr>
      <w:tr w:rsidR="0083408C">
        <w:trPr>
          <w:cantSplit/>
        </w:trPr>
        <w:tc>
          <w:tcPr>
            <w:tcW w:w="3457" w:type="dxa"/>
          </w:tcPr>
          <w:p w:rsidR="0083408C" w:rsidRDefault="00000000">
            <w:pPr>
              <w:spacing w:after="0"/>
              <w:jc w:val="left"/>
            </w:pPr>
            <w:r>
              <w:rPr>
                <w:b/>
                <w:sz w:val="15"/>
              </w:rPr>
              <w:t>base-56</w:t>
            </w:r>
          </w:p>
        </w:tc>
        <w:tc>
          <w:tcPr>
            <w:tcW w:w="3457" w:type="dxa"/>
          </w:tcPr>
          <w:p w:rsidR="0083408C" w:rsidRDefault="00000000">
            <w:pPr>
              <w:spacing w:after="0"/>
              <w:jc w:val="left"/>
            </w:pPr>
            <w:r>
              <w:rPr>
                <w:sz w:val="15"/>
              </w:rPr>
              <w:t>Baseline: catálogo completo en el prompt, sin RAG</w:t>
            </w:r>
          </w:p>
        </w:tc>
        <w:tc>
          <w:tcPr>
            <w:tcW w:w="3457" w:type="dxa"/>
          </w:tcPr>
          <w:p w:rsidR="0083408C" w:rsidRDefault="00000000">
            <w:pPr>
              <w:spacing w:after="0"/>
              <w:jc w:val="left"/>
            </w:pPr>
            <w:r>
              <w:rPr>
                <w:sz w:val="15"/>
              </w:rPr>
              <w:t>73,2 % (41/56)</w:t>
            </w:r>
          </w:p>
        </w:tc>
      </w:tr>
      <w:tr w:rsidR="0083408C">
        <w:trPr>
          <w:cantSplit/>
        </w:trPr>
        <w:tc>
          <w:tcPr>
            <w:tcW w:w="3457" w:type="dxa"/>
            <w:shd w:val="clear" w:color="auto" w:fill="F2F4F8"/>
          </w:tcPr>
          <w:p w:rsidR="0083408C" w:rsidRDefault="00000000">
            <w:pPr>
              <w:spacing w:after="0"/>
              <w:jc w:val="left"/>
            </w:pPr>
            <w:r>
              <w:rPr>
                <w:b/>
                <w:sz w:val="15"/>
              </w:rPr>
              <w:t>glosas-56</w:t>
            </w:r>
          </w:p>
        </w:tc>
        <w:tc>
          <w:tcPr>
            <w:tcW w:w="3457" w:type="dxa"/>
            <w:shd w:val="clear" w:color="auto" w:fill="F2F4F8"/>
          </w:tcPr>
          <w:p w:rsidR="0083408C" w:rsidRDefault="00000000">
            <w:pPr>
              <w:spacing w:after="0"/>
              <w:jc w:val="left"/>
            </w:pPr>
            <w:r>
              <w:rPr>
                <w:sz w:val="15"/>
              </w:rPr>
              <w:t>+ RAG de glosas (bloque de vocabulario)</w:t>
            </w:r>
          </w:p>
        </w:tc>
        <w:tc>
          <w:tcPr>
            <w:tcW w:w="3457" w:type="dxa"/>
            <w:shd w:val="clear" w:color="auto" w:fill="F2F4F8"/>
          </w:tcPr>
          <w:p w:rsidR="0083408C" w:rsidRDefault="00000000">
            <w:pPr>
              <w:spacing w:after="0"/>
              <w:jc w:val="left"/>
            </w:pPr>
            <w:r>
              <w:rPr>
                <w:sz w:val="15"/>
              </w:rPr>
              <w:t>67,9 % (38/56)</w:t>
            </w:r>
          </w:p>
        </w:tc>
      </w:tr>
      <w:tr w:rsidR="0083408C">
        <w:trPr>
          <w:cantSplit/>
        </w:trPr>
        <w:tc>
          <w:tcPr>
            <w:tcW w:w="3457" w:type="dxa"/>
          </w:tcPr>
          <w:p w:rsidR="0083408C" w:rsidRDefault="00000000">
            <w:pPr>
              <w:spacing w:after="0"/>
              <w:jc w:val="left"/>
            </w:pPr>
            <w:r>
              <w:rPr>
                <w:b/>
                <w:sz w:val="15"/>
              </w:rPr>
              <w:t>catalogo-56</w:t>
            </w:r>
          </w:p>
        </w:tc>
        <w:tc>
          <w:tcPr>
            <w:tcW w:w="3457" w:type="dxa"/>
          </w:tcPr>
          <w:p w:rsidR="0083408C" w:rsidRDefault="00000000">
            <w:pPr>
              <w:spacing w:after="0"/>
              <w:jc w:val="left"/>
            </w:pPr>
            <w:r>
              <w:rPr>
                <w:sz w:val="15"/>
              </w:rPr>
              <w:t>+ RAG de catálogo</w:t>
            </w:r>
          </w:p>
        </w:tc>
        <w:tc>
          <w:tcPr>
            <w:tcW w:w="3457" w:type="dxa"/>
          </w:tcPr>
          <w:p w:rsidR="0083408C" w:rsidRDefault="00000000">
            <w:pPr>
              <w:spacing w:after="0"/>
              <w:jc w:val="left"/>
            </w:pPr>
            <w:r>
              <w:rPr>
                <w:sz w:val="15"/>
              </w:rPr>
              <w:t>67,9 % (38/56)</w:t>
            </w:r>
          </w:p>
        </w:tc>
      </w:tr>
      <w:tr w:rsidR="0083408C">
        <w:trPr>
          <w:cantSplit/>
        </w:trPr>
        <w:tc>
          <w:tcPr>
            <w:tcW w:w="3457" w:type="dxa"/>
            <w:shd w:val="clear" w:color="auto" w:fill="F2F4F8"/>
          </w:tcPr>
          <w:p w:rsidR="0083408C" w:rsidRDefault="00000000">
            <w:pPr>
              <w:spacing w:after="0"/>
              <w:jc w:val="left"/>
            </w:pPr>
            <w:r>
              <w:rPr>
                <w:b/>
                <w:sz w:val="15"/>
              </w:rPr>
              <w:t>ambos-56</w:t>
            </w:r>
          </w:p>
        </w:tc>
        <w:tc>
          <w:tcPr>
            <w:tcW w:w="3457" w:type="dxa"/>
            <w:shd w:val="clear" w:color="auto" w:fill="F2F4F8"/>
          </w:tcPr>
          <w:p w:rsidR="0083408C" w:rsidRDefault="00000000">
            <w:pPr>
              <w:spacing w:after="0"/>
              <w:jc w:val="left"/>
            </w:pPr>
            <w:r>
              <w:rPr>
                <w:sz w:val="15"/>
              </w:rPr>
              <w:t>+ RAG de glosas y de catálogo</w:t>
            </w:r>
          </w:p>
        </w:tc>
        <w:tc>
          <w:tcPr>
            <w:tcW w:w="3457" w:type="dxa"/>
            <w:shd w:val="clear" w:color="auto" w:fill="F2F4F8"/>
          </w:tcPr>
          <w:p w:rsidR="0083408C" w:rsidRDefault="00000000">
            <w:pPr>
              <w:spacing w:after="0"/>
              <w:jc w:val="left"/>
            </w:pPr>
            <w:r>
              <w:rPr>
                <w:sz w:val="15"/>
              </w:rPr>
              <w:t>71,4 % (40/56)</w:t>
            </w:r>
          </w:p>
        </w:tc>
      </w:tr>
    </w:tbl>
    <w:p w:rsidR="0083408C" w:rsidRDefault="00000000">
      <w:pPr>
        <w:spacing w:before="40" w:after="160"/>
        <w:jc w:val="left"/>
      </w:pPr>
      <w:r>
        <w:rPr>
          <w:i/>
          <w:sz w:val="15"/>
        </w:rPr>
        <w:t>Los conjuntos de 48 y de 56 no son comparables entre sí. En base-56 dos preguntas se perdieron por caída del proveedor y cuentan como fallo, de modo que su cifra es una cota inferior y las tres corridas con RAG aparecen mejorando en dos preguntas que no son mérito de ningún componente. configuración medida: esquema de 3 tablas · diccionario PCGE de 176 fichas · base con los duplicados de compras (9.960 filas).</w:t>
      </w:r>
    </w:p>
    <w:p w:rsidR="0083408C" w:rsidRDefault="00000000">
      <w:r>
        <w:t>El total esconde lo interesante, y el desglose por categoría lo enseña. El mecanismo está en el SQL generado: con la familia contable delante, el modelo abandona el filtro de texto libre y filtra por cuenta.</w:t>
      </w:r>
    </w:p>
    <w:p w:rsidR="0083408C" w:rsidRDefault="00000000">
      <w:pPr>
        <w:keepNext/>
        <w:spacing w:before="120" w:after="40"/>
        <w:jc w:val="center"/>
      </w:pPr>
      <w:r>
        <w:rPr>
          <w:noProof/>
        </w:rPr>
        <w:lastRenderedPageBreak/>
        <w:drawing>
          <wp:inline distT="0" distB="0" distL="0" distR="0">
            <wp:extent cx="3096000" cy="256525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gate.png"/>
                    <pic:cNvPicPr/>
                  </pic:nvPicPr>
                  <pic:blipFill>
                    <a:blip r:embed="rId12"/>
                    <a:stretch>
                      <a:fillRect/>
                    </a:stretch>
                  </pic:blipFill>
                  <pic:spPr>
                    <a:xfrm>
                      <a:off x="0" y="0"/>
                      <a:ext cx="3096000" cy="2565257"/>
                    </a:xfrm>
                    <a:prstGeom prst="rect">
                      <a:avLst/>
                    </a:prstGeom>
                  </pic:spPr>
                </pic:pic>
              </a:graphicData>
            </a:graphic>
          </wp:inline>
        </w:drawing>
      </w:r>
    </w:p>
    <w:p w:rsidR="0083408C" w:rsidRDefault="00000000">
      <w:pPr>
        <w:spacing w:after="160"/>
        <w:jc w:val="center"/>
      </w:pPr>
      <w:r>
        <w:rPr>
          <w:i/>
          <w:color w:val="606060"/>
          <w:sz w:val="16"/>
        </w:rPr>
        <w:t>Fig. 4. Acierto por categoría al activar el RAG de catálogo, ordenado por la magnitud del cambio. Suben las dos categorías cuyo concepto tiene código contable y bajan cuatro de las cinco restantes: el recuperador no mejora ni empeora el sistema, lo DESPLAZA. configuración medida: esquema de 3 tablas · diccionario PCGE de 176 fichas · base con los duplicados de compras (9.960 filas).</w:t>
      </w:r>
    </w:p>
    <w:p w:rsidR="0083408C" w:rsidRDefault="00000000">
      <w:r>
        <w:t xml:space="preserve">El efecto es simétrico y por eso es diagnóstico: cada corpus desplaza al modelo hacia su propia forma de resolver y, sin un gate que decida cuál corresponde a cada pregunta, lo que se gana en una categoría se pierde en otra. La configuración con los dos recuperadores da el total más alto y a la vez vacía la categoría que motivó el trabajo, así que lo que muestran las cuatro corridas no es cuál gana, sino que sin gate </w:t>
      </w:r>
      <w:r>
        <w:rPr>
          <w:i/>
        </w:rPr>
        <w:t>mejor</w:t>
      </w:r>
      <w:r>
        <w:t xml:space="preserve"> es una propiedad de la mezcla del set. Y ese gate no puede ser un umbral de similitud: la similitud del mejor resultado no separa las categorías —glosa va de 0,870 a 0,922 y tributario tiene mediana 0,896—, tiene que ser una clasificación de la pregunta. No está implementado.</w:t>
      </w:r>
    </w:p>
    <w:p w:rsidR="0083408C" w:rsidRDefault="00000000">
      <w:pPr>
        <w:pStyle w:val="Heading2"/>
        <w:spacing w:before="160" w:after="40"/>
        <w:jc w:val="left"/>
      </w:pPr>
      <w:r>
        <w:rPr>
          <w:rFonts w:ascii="Times New Roman" w:hAnsi="Times New Roman"/>
          <w:b w:val="0"/>
          <w:i/>
          <w:sz w:val="20"/>
        </w:rPr>
        <w:t>C.  La categoría glosa: la hipótesis no se confirma</w:t>
      </w:r>
    </w:p>
    <w:p w:rsidR="0083408C" w:rsidRDefault="00000000">
      <w:r>
        <w:t>El agregado de la categoría glosa mezcla dos instrumentos distintos y hay que partirlo. Las siete preguntas clásicas (q32–q38) vienen del set original y tienen su gold definido con un único patrón ILIKE; las ocho nuevas (q49–q56) se añadieron al rediseñar el instrumento y su gold es un conjunto de variantes. La hipótesis era explícita: el RAG de glosas debía ganar en las nuevas y, como mucho, empatar en las clásicas.</w:t>
      </w:r>
    </w:p>
    <w:p w:rsidR="0083408C" w:rsidRDefault="00000000">
      <w:pPr>
        <w:keepNext/>
        <w:spacing w:before="160" w:after="40"/>
        <w:jc w:val="left"/>
      </w:pPr>
      <w:r>
        <w:rPr>
          <w:b/>
          <w:sz w:val="16"/>
        </w:rPr>
        <w:t>Tabla 11. La categoría glosa partida por tipo de gold (n = 15)</w:t>
      </w:r>
    </w:p>
    <w:tbl>
      <w:tblPr>
        <w:tblStyle w:val="TableGrid"/>
        <w:tblW w:w="0" w:type="auto"/>
        <w:tblLook w:val="04A0" w:firstRow="1" w:lastRow="0" w:firstColumn="1" w:lastColumn="0" w:noHBand="0" w:noVBand="1"/>
      </w:tblPr>
      <w:tblGrid>
        <w:gridCol w:w="1201"/>
        <w:gridCol w:w="644"/>
        <w:gridCol w:w="797"/>
        <w:gridCol w:w="873"/>
        <w:gridCol w:w="844"/>
        <w:gridCol w:w="898"/>
      </w:tblGrid>
      <w:tr w:rsidR="0083408C">
        <w:trPr>
          <w:tblHeader/>
        </w:trPr>
        <w:tc>
          <w:tcPr>
            <w:tcW w:w="1728" w:type="dxa"/>
            <w:shd w:val="clear" w:color="auto" w:fill="1F3864"/>
          </w:tcPr>
          <w:p w:rsidR="0083408C" w:rsidRDefault="00000000">
            <w:pPr>
              <w:spacing w:after="0"/>
              <w:jc w:val="left"/>
            </w:pPr>
            <w:r>
              <w:rPr>
                <w:b/>
                <w:color w:val="FFFFFF"/>
                <w:sz w:val="15"/>
              </w:rPr>
              <w:t>Subconjunto</w:t>
            </w:r>
          </w:p>
        </w:tc>
        <w:tc>
          <w:tcPr>
            <w:tcW w:w="1728" w:type="dxa"/>
            <w:shd w:val="clear" w:color="auto" w:fill="1F3864"/>
          </w:tcPr>
          <w:p w:rsidR="0083408C" w:rsidRDefault="00000000">
            <w:pPr>
              <w:spacing w:after="0"/>
              <w:jc w:val="left"/>
            </w:pPr>
            <w:r>
              <w:rPr>
                <w:b/>
                <w:color w:val="FFFFFF"/>
                <w:sz w:val="15"/>
              </w:rPr>
              <w:t>n</w:t>
            </w:r>
          </w:p>
        </w:tc>
        <w:tc>
          <w:tcPr>
            <w:tcW w:w="1728" w:type="dxa"/>
            <w:shd w:val="clear" w:color="auto" w:fill="1F3864"/>
          </w:tcPr>
          <w:p w:rsidR="0083408C" w:rsidRDefault="00000000">
            <w:pPr>
              <w:spacing w:after="0"/>
              <w:jc w:val="left"/>
            </w:pPr>
            <w:r>
              <w:rPr>
                <w:b/>
                <w:color w:val="FFFFFF"/>
                <w:sz w:val="15"/>
              </w:rPr>
              <w:t>base</w:t>
            </w:r>
          </w:p>
        </w:tc>
        <w:tc>
          <w:tcPr>
            <w:tcW w:w="1728" w:type="dxa"/>
            <w:shd w:val="clear" w:color="auto" w:fill="1F3864"/>
          </w:tcPr>
          <w:p w:rsidR="0083408C" w:rsidRDefault="00000000">
            <w:pPr>
              <w:spacing w:after="0"/>
              <w:jc w:val="left"/>
            </w:pPr>
            <w:r>
              <w:rPr>
                <w:b/>
                <w:color w:val="FFFFFF"/>
                <w:sz w:val="15"/>
              </w:rPr>
              <w:t>glosas</w:t>
            </w:r>
          </w:p>
        </w:tc>
        <w:tc>
          <w:tcPr>
            <w:tcW w:w="1728" w:type="dxa"/>
            <w:shd w:val="clear" w:color="auto" w:fill="1F3864"/>
          </w:tcPr>
          <w:p w:rsidR="0083408C" w:rsidRDefault="00000000">
            <w:pPr>
              <w:spacing w:after="0"/>
              <w:jc w:val="left"/>
            </w:pPr>
            <w:r>
              <w:rPr>
                <w:b/>
                <w:color w:val="FFFFFF"/>
                <w:sz w:val="15"/>
              </w:rPr>
              <w:t>catál.</w:t>
            </w:r>
          </w:p>
        </w:tc>
        <w:tc>
          <w:tcPr>
            <w:tcW w:w="1728" w:type="dxa"/>
            <w:shd w:val="clear" w:color="auto" w:fill="1F3864"/>
          </w:tcPr>
          <w:p w:rsidR="0083408C" w:rsidRDefault="00000000">
            <w:pPr>
              <w:spacing w:after="0"/>
              <w:jc w:val="left"/>
            </w:pPr>
            <w:r>
              <w:rPr>
                <w:b/>
                <w:color w:val="FFFFFF"/>
                <w:sz w:val="15"/>
              </w:rPr>
              <w:t>ambos</w:t>
            </w:r>
          </w:p>
        </w:tc>
      </w:tr>
      <w:tr w:rsidR="0083408C">
        <w:trPr>
          <w:cantSplit/>
        </w:trPr>
        <w:tc>
          <w:tcPr>
            <w:tcW w:w="1728" w:type="dxa"/>
          </w:tcPr>
          <w:p w:rsidR="0083408C" w:rsidRDefault="00000000">
            <w:pPr>
              <w:spacing w:after="0"/>
              <w:jc w:val="left"/>
            </w:pPr>
            <w:r>
              <w:rPr>
                <w:b/>
                <w:sz w:val="15"/>
              </w:rPr>
              <w:t>clásica q32–q38</w:t>
            </w:r>
            <w:r>
              <w:rPr>
                <w:b/>
                <w:sz w:val="15"/>
              </w:rPr>
              <w:br/>
            </w:r>
            <w:r>
              <w:rPr>
                <w:sz w:val="15"/>
              </w:rPr>
              <w:t>(gold de un ILIKE)</w:t>
            </w:r>
          </w:p>
        </w:tc>
        <w:tc>
          <w:tcPr>
            <w:tcW w:w="1728" w:type="dxa"/>
          </w:tcPr>
          <w:p w:rsidR="0083408C" w:rsidRDefault="00000000">
            <w:pPr>
              <w:spacing w:after="0"/>
              <w:jc w:val="left"/>
            </w:pPr>
            <w:r>
              <w:rPr>
                <w:sz w:val="15"/>
              </w:rPr>
              <w:t>7</w:t>
            </w:r>
          </w:p>
        </w:tc>
        <w:tc>
          <w:tcPr>
            <w:tcW w:w="1728" w:type="dxa"/>
          </w:tcPr>
          <w:p w:rsidR="0083408C" w:rsidRDefault="00000000">
            <w:pPr>
              <w:spacing w:after="0"/>
              <w:jc w:val="left"/>
            </w:pPr>
            <w:r>
              <w:rPr>
                <w:sz w:val="15"/>
              </w:rPr>
              <w:t>4/7</w:t>
            </w:r>
          </w:p>
        </w:tc>
        <w:tc>
          <w:tcPr>
            <w:tcW w:w="1728" w:type="dxa"/>
          </w:tcPr>
          <w:p w:rsidR="0083408C" w:rsidRDefault="00000000">
            <w:pPr>
              <w:spacing w:after="0"/>
              <w:jc w:val="left"/>
            </w:pPr>
            <w:r>
              <w:rPr>
                <w:sz w:val="15"/>
              </w:rPr>
              <w:t>2/7</w:t>
            </w:r>
          </w:p>
        </w:tc>
        <w:tc>
          <w:tcPr>
            <w:tcW w:w="1728" w:type="dxa"/>
          </w:tcPr>
          <w:p w:rsidR="0083408C" w:rsidRDefault="00000000">
            <w:pPr>
              <w:spacing w:after="0"/>
              <w:jc w:val="left"/>
            </w:pPr>
            <w:r>
              <w:rPr>
                <w:sz w:val="15"/>
              </w:rPr>
              <w:t>1/7</w:t>
            </w:r>
          </w:p>
        </w:tc>
        <w:tc>
          <w:tcPr>
            <w:tcW w:w="1728" w:type="dxa"/>
          </w:tcPr>
          <w:p w:rsidR="0083408C" w:rsidRDefault="00000000">
            <w:pPr>
              <w:spacing w:after="0"/>
              <w:jc w:val="left"/>
            </w:pPr>
            <w:r>
              <w:rPr>
                <w:sz w:val="15"/>
              </w:rPr>
              <w:t>0/7</w:t>
            </w:r>
          </w:p>
        </w:tc>
      </w:tr>
      <w:tr w:rsidR="0083408C">
        <w:trPr>
          <w:cantSplit/>
        </w:trPr>
        <w:tc>
          <w:tcPr>
            <w:tcW w:w="1728" w:type="dxa"/>
            <w:shd w:val="clear" w:color="auto" w:fill="F2F4F8"/>
          </w:tcPr>
          <w:p w:rsidR="0083408C" w:rsidRDefault="00000000">
            <w:pPr>
              <w:spacing w:after="0"/>
              <w:jc w:val="left"/>
            </w:pPr>
            <w:r>
              <w:rPr>
                <w:b/>
                <w:sz w:val="15"/>
              </w:rPr>
              <w:t>nueva q49–q56</w:t>
            </w:r>
            <w:r>
              <w:rPr>
                <w:b/>
                <w:sz w:val="15"/>
              </w:rPr>
              <w:br/>
            </w:r>
            <w:r>
              <w:rPr>
                <w:sz w:val="15"/>
              </w:rPr>
              <w:t>(gold multi-variante)</w:t>
            </w:r>
          </w:p>
        </w:tc>
        <w:tc>
          <w:tcPr>
            <w:tcW w:w="1728" w:type="dxa"/>
            <w:shd w:val="clear" w:color="auto" w:fill="F2F4F8"/>
          </w:tcPr>
          <w:p w:rsidR="0083408C" w:rsidRDefault="00000000">
            <w:pPr>
              <w:spacing w:after="0"/>
              <w:jc w:val="left"/>
            </w:pPr>
            <w:r>
              <w:rPr>
                <w:sz w:val="15"/>
              </w:rPr>
              <w:t>8</w:t>
            </w:r>
          </w:p>
        </w:tc>
        <w:tc>
          <w:tcPr>
            <w:tcW w:w="1728" w:type="dxa"/>
            <w:shd w:val="clear" w:color="auto" w:fill="F2F4F8"/>
          </w:tcPr>
          <w:p w:rsidR="0083408C" w:rsidRDefault="00000000">
            <w:pPr>
              <w:spacing w:after="0"/>
              <w:jc w:val="left"/>
            </w:pPr>
            <w:r>
              <w:rPr>
                <w:sz w:val="15"/>
              </w:rPr>
              <w:t>0/8</w:t>
            </w:r>
          </w:p>
        </w:tc>
        <w:tc>
          <w:tcPr>
            <w:tcW w:w="1728" w:type="dxa"/>
            <w:shd w:val="clear" w:color="auto" w:fill="F2F4F8"/>
          </w:tcPr>
          <w:p w:rsidR="0083408C" w:rsidRDefault="00000000">
            <w:pPr>
              <w:spacing w:after="0"/>
              <w:jc w:val="left"/>
            </w:pPr>
            <w:r>
              <w:rPr>
                <w:sz w:val="15"/>
              </w:rPr>
              <w:t>0/8</w:t>
            </w:r>
          </w:p>
        </w:tc>
        <w:tc>
          <w:tcPr>
            <w:tcW w:w="1728" w:type="dxa"/>
            <w:shd w:val="clear" w:color="auto" w:fill="F2F4F8"/>
          </w:tcPr>
          <w:p w:rsidR="0083408C" w:rsidRDefault="00000000">
            <w:pPr>
              <w:spacing w:after="0"/>
              <w:jc w:val="left"/>
            </w:pPr>
            <w:r>
              <w:rPr>
                <w:sz w:val="15"/>
              </w:rPr>
              <w:t>0/8</w:t>
            </w:r>
          </w:p>
        </w:tc>
        <w:tc>
          <w:tcPr>
            <w:tcW w:w="1728" w:type="dxa"/>
            <w:shd w:val="clear" w:color="auto" w:fill="F2F4F8"/>
          </w:tcPr>
          <w:p w:rsidR="0083408C" w:rsidRDefault="00000000">
            <w:pPr>
              <w:spacing w:after="0"/>
              <w:jc w:val="left"/>
            </w:pPr>
            <w:r>
              <w:rPr>
                <w:sz w:val="15"/>
              </w:rPr>
              <w:t>0/8</w:t>
            </w:r>
          </w:p>
        </w:tc>
      </w:tr>
    </w:tbl>
    <w:p w:rsidR="0083408C" w:rsidRDefault="00000000">
      <w:pPr>
        <w:spacing w:before="40" w:after="160"/>
        <w:jc w:val="left"/>
      </w:pPr>
      <w:r>
        <w:rPr>
          <w:i/>
          <w:sz w:val="15"/>
        </w:rPr>
        <w:t>Calculado por identificador de pregunta sobre los cuatro artefactos de la Tabla 10. configuración medida: esquema de 3 tablas · diccionario PCGE de 176 fichas · base con los duplicados de compras (9.960 filas).</w:t>
      </w:r>
    </w:p>
    <w:p w:rsidR="0083408C" w:rsidRDefault="00000000">
      <w:r>
        <w:t xml:space="preserve">Ninguna de las dos mitades se cumple. En las ocho nuevas el RAG de glosas obtiene 0/8, exactamente lo mismo que el baseline: no gana una sola de las preguntas diseñadas para que solo la búsqueda semántica pudiera acertar. Y en las siete clásicas no empata, sino que baja de 4/7 a 2/7. La hipótesis </w:t>
      </w:r>
      <w:r>
        <w:t>central del proyecto queda refutada por la medición, y se reporta como tal.</w:t>
      </w:r>
    </w:p>
    <w:p w:rsidR="0083408C" w:rsidRDefault="00000000">
      <w:r>
        <w:t>Ese 0/8 uniforme, sin embargo, habla también del instrumento: que ninguna de las cuatro configuraciones acierte ni una es la firma de un test inalcanzable, no de un sistema uniformemente malo. Su gold es un conjunto de raíces elegido por el anotador —</w:t>
      </w:r>
      <w:r>
        <w:rPr>
          <w:i/>
        </w:rPr>
        <w:t>artes de pesca</w:t>
      </w:r>
      <w:r>
        <w:t xml:space="preserve"> son NYLON, CABO, HILO, PAÑO, DRIZZA y FLOTADOR, y no otras— evaluado con igualdad estricta, y con vocabulario abierto los conjuntos defendibles son muchos. El balance metodológico es incómodo y por eso se dice: el primer instrumento premiaba al baseline por construcción y el segundo no lo acierta nadie. Ninguno de los dos mide lo que se quería medir.</w:t>
      </w:r>
    </w:p>
    <w:p w:rsidR="0083408C" w:rsidRDefault="00000000">
      <w:r>
        <w:t xml:space="preserve">Hay además una diferencia real que la métrica no ve. Comparando el importe del gold con el de la predicción, el baseline se equivoca sin escala —hasta 1090x en q56, que busca </w:t>
      </w:r>
      <w:r>
        <w:rPr>
          <w:i/>
        </w:rPr>
        <w:t>MOVILIDAD</w:t>
      </w:r>
      <w:r>
        <w:t xml:space="preserve"> y arrastra toda la caja— mientras que con el RAG de glosas la mayor sobreestimación es de 7,8x y seis de las ocho respuestas caen dentro de un orden de magnitud del valor correcto, frente a cuatro del baseline. No es un acierto —el usuario recibe un número equivocado en los dos casos— sino un resultado sobre la métrica, que es binaria y trata igual 1,3x y 1090x.</w:t>
      </w:r>
    </w:p>
    <w:p w:rsidR="0083408C" w:rsidRDefault="00000000">
      <w:pPr>
        <w:pStyle w:val="Heading2"/>
        <w:spacing w:before="160" w:after="40"/>
        <w:jc w:val="left"/>
      </w:pPr>
      <w:r>
        <w:rPr>
          <w:rFonts w:ascii="Times New Roman" w:hAnsi="Times New Roman"/>
          <w:b w:val="0"/>
          <w:i/>
          <w:sz w:val="20"/>
        </w:rPr>
        <w:t>D.  Auditoría de los golds y refactor del esquema contable</w:t>
      </w:r>
    </w:p>
    <w:p w:rsidR="0083408C" w:rsidRDefault="00000000">
      <w:r>
        <w:t>La pregunta que abre esta campaña es la que deja abierta la anterior: el RAG no alcanzaba al baseline, ¿era el retrieval o estábamos midiendo mal? La auditoría de la categoría glosa —contra el plan de cuentas declarado a SUNAT y sin usar el retriever— encontró cuatro golds mal escritos por la misma causa: filtrar el libro mayor por texto libre suma también las cuentas de clase 9, que son el espejo analítico del gasto de clase 6. El gold de q36 valía 23.535.708,47 y el correcto es 995.199,54, un factor de 23. Lo relevante no es el error en sí, sino que el agente filtraba igual que el gold: compartían el bug y coincidían en la respuesta equivocada, de modo que el banco premiaba la respuesta incorrecta.</w:t>
      </w:r>
    </w:p>
    <w:p w:rsidR="0083408C" w:rsidRDefault="00000000">
      <w:r>
        <w:t>Recalculada con los golds corregidos, la ventaja de dos preguntas que el baseline mantenía sobre el RAG desaparece: baseline 82,0 % y RAG de catálogo 82,7 % sobre el mismo conjunto de 50, según la bitácora del proyecto. Sobre ese diagnóstico se hizo el refactor: libro_mayor_wide gana cinco columnas derivadas —elemento, cuenta_2d, cuenta_3d, denominacion_cuenta y tipo_asiento— y las tres reglas que el catálogo enunciaba mal pasan a ser fijas. Cierre y apertura son 3.235 filas que mueven S/ 1.761 millones, siete veces todo el gasto de clase 6, y no llevaban ninguna marca.</w:t>
      </w:r>
    </w:p>
    <w:p w:rsidR="0083408C" w:rsidRDefault="00000000">
      <w:pPr>
        <w:keepNext/>
        <w:spacing w:before="160" w:after="40"/>
        <w:jc w:val="left"/>
      </w:pPr>
      <w:r>
        <w:rPr>
          <w:b/>
          <w:sz w:val="16"/>
        </w:rPr>
        <w:t>Tabla 12. Efecto del refactor de dimensiones contables (n = 50)</w:t>
      </w:r>
    </w:p>
    <w:tbl>
      <w:tblPr>
        <w:tblStyle w:val="TableGrid"/>
        <w:tblW w:w="0" w:type="auto"/>
        <w:tblLook w:val="04A0" w:firstRow="1" w:lastRow="0" w:firstColumn="1" w:lastColumn="0" w:noHBand="0" w:noVBand="1"/>
      </w:tblPr>
      <w:tblGrid>
        <w:gridCol w:w="1588"/>
        <w:gridCol w:w="1276"/>
        <w:gridCol w:w="1230"/>
        <w:gridCol w:w="1163"/>
      </w:tblGrid>
      <w:tr w:rsidR="0083408C">
        <w:trPr>
          <w:tblHeader/>
        </w:trPr>
        <w:tc>
          <w:tcPr>
            <w:tcW w:w="2592" w:type="dxa"/>
            <w:shd w:val="clear" w:color="auto" w:fill="1F3864"/>
          </w:tcPr>
          <w:p w:rsidR="0083408C" w:rsidRDefault="00000000">
            <w:pPr>
              <w:spacing w:after="0"/>
              <w:jc w:val="left"/>
            </w:pPr>
            <w:r>
              <w:rPr>
                <w:b/>
                <w:color w:val="FFFFFF"/>
                <w:sz w:val="15"/>
              </w:rPr>
              <w:t>Configuración</w:t>
            </w:r>
          </w:p>
        </w:tc>
        <w:tc>
          <w:tcPr>
            <w:tcW w:w="2592" w:type="dxa"/>
            <w:shd w:val="clear" w:color="auto" w:fill="1F3864"/>
          </w:tcPr>
          <w:p w:rsidR="0083408C" w:rsidRDefault="00000000">
            <w:pPr>
              <w:spacing w:after="0"/>
              <w:jc w:val="left"/>
            </w:pPr>
            <w:r>
              <w:rPr>
                <w:b/>
                <w:color w:val="FFFFFF"/>
                <w:sz w:val="15"/>
              </w:rPr>
              <w:t>1.ª · 2.ª corrida</w:t>
            </w:r>
          </w:p>
        </w:tc>
        <w:tc>
          <w:tcPr>
            <w:tcW w:w="2592" w:type="dxa"/>
            <w:shd w:val="clear" w:color="auto" w:fill="1F3864"/>
          </w:tcPr>
          <w:p w:rsidR="0083408C" w:rsidRDefault="00000000">
            <w:pPr>
              <w:spacing w:after="0"/>
              <w:jc w:val="left"/>
            </w:pPr>
            <w:r>
              <w:rPr>
                <w:b/>
                <w:color w:val="FFFFFF"/>
                <w:sz w:val="15"/>
              </w:rPr>
              <w:t>Media</w:t>
            </w:r>
          </w:p>
        </w:tc>
        <w:tc>
          <w:tcPr>
            <w:tcW w:w="2592" w:type="dxa"/>
            <w:shd w:val="clear" w:color="auto" w:fill="1F3864"/>
          </w:tcPr>
          <w:p w:rsidR="0083408C" w:rsidRDefault="00000000">
            <w:pPr>
              <w:spacing w:after="0"/>
              <w:jc w:val="left"/>
            </w:pPr>
            <w:r>
              <w:rPr>
                <w:b/>
                <w:color w:val="FFFFFF"/>
                <w:sz w:val="15"/>
              </w:rPr>
              <w:t>Estr.</w:t>
            </w:r>
          </w:p>
        </w:tc>
      </w:tr>
      <w:tr w:rsidR="0083408C">
        <w:trPr>
          <w:cantSplit/>
        </w:trPr>
        <w:tc>
          <w:tcPr>
            <w:tcW w:w="2592" w:type="dxa"/>
          </w:tcPr>
          <w:p w:rsidR="0083408C" w:rsidRDefault="00000000">
            <w:pPr>
              <w:spacing w:after="0"/>
              <w:jc w:val="left"/>
            </w:pPr>
            <w:r>
              <w:rPr>
                <w:b/>
                <w:sz w:val="15"/>
              </w:rPr>
              <w:t>Baseline · regla v1</w:t>
            </w:r>
          </w:p>
        </w:tc>
        <w:tc>
          <w:tcPr>
            <w:tcW w:w="2592" w:type="dxa"/>
          </w:tcPr>
          <w:p w:rsidR="0083408C" w:rsidRDefault="00000000">
            <w:pPr>
              <w:spacing w:after="0"/>
              <w:jc w:val="left"/>
            </w:pPr>
            <w:r>
              <w:rPr>
                <w:sz w:val="15"/>
              </w:rPr>
              <w:t>82,0 · 84,0</w:t>
            </w:r>
          </w:p>
        </w:tc>
        <w:tc>
          <w:tcPr>
            <w:tcW w:w="2592" w:type="dxa"/>
          </w:tcPr>
          <w:p w:rsidR="0083408C" w:rsidRDefault="00000000">
            <w:pPr>
              <w:spacing w:after="0"/>
              <w:jc w:val="left"/>
            </w:pPr>
            <w:r>
              <w:rPr>
                <w:sz w:val="15"/>
              </w:rPr>
              <w:t>83,0 %</w:t>
            </w:r>
          </w:p>
        </w:tc>
        <w:tc>
          <w:tcPr>
            <w:tcW w:w="2592" w:type="dxa"/>
          </w:tcPr>
          <w:p w:rsidR="0083408C" w:rsidRDefault="00000000">
            <w:pPr>
              <w:spacing w:after="0"/>
              <w:jc w:val="left"/>
            </w:pPr>
            <w:r>
              <w:rPr>
                <w:sz w:val="15"/>
              </w:rPr>
              <w:t>63,0 %</w:t>
            </w:r>
          </w:p>
        </w:tc>
      </w:tr>
      <w:tr w:rsidR="0083408C">
        <w:trPr>
          <w:cantSplit/>
        </w:trPr>
        <w:tc>
          <w:tcPr>
            <w:tcW w:w="2592" w:type="dxa"/>
            <w:shd w:val="clear" w:color="auto" w:fill="F2F4F8"/>
          </w:tcPr>
          <w:p w:rsidR="0083408C" w:rsidRDefault="00000000">
            <w:pPr>
              <w:spacing w:after="0"/>
              <w:jc w:val="left"/>
            </w:pPr>
            <w:r>
              <w:rPr>
                <w:b/>
                <w:sz w:val="15"/>
              </w:rPr>
              <w:t>Catálogo · regla v1</w:t>
            </w:r>
          </w:p>
        </w:tc>
        <w:tc>
          <w:tcPr>
            <w:tcW w:w="2592" w:type="dxa"/>
            <w:shd w:val="clear" w:color="auto" w:fill="F2F4F8"/>
          </w:tcPr>
          <w:p w:rsidR="0083408C" w:rsidRDefault="00000000">
            <w:pPr>
              <w:spacing w:after="0"/>
              <w:jc w:val="left"/>
            </w:pPr>
            <w:r>
              <w:rPr>
                <w:sz w:val="15"/>
              </w:rPr>
              <w:t>78,0 · 84,0</w:t>
            </w:r>
          </w:p>
        </w:tc>
        <w:tc>
          <w:tcPr>
            <w:tcW w:w="2592" w:type="dxa"/>
            <w:shd w:val="clear" w:color="auto" w:fill="F2F4F8"/>
          </w:tcPr>
          <w:p w:rsidR="0083408C" w:rsidRDefault="00000000">
            <w:pPr>
              <w:spacing w:after="0"/>
              <w:jc w:val="left"/>
            </w:pPr>
            <w:r>
              <w:rPr>
                <w:sz w:val="15"/>
              </w:rPr>
              <w:t>81,0 %</w:t>
            </w:r>
          </w:p>
        </w:tc>
        <w:tc>
          <w:tcPr>
            <w:tcW w:w="2592" w:type="dxa"/>
            <w:shd w:val="clear" w:color="auto" w:fill="F2F4F8"/>
          </w:tcPr>
          <w:p w:rsidR="0083408C" w:rsidRDefault="00000000">
            <w:pPr>
              <w:spacing w:after="0"/>
              <w:jc w:val="left"/>
            </w:pPr>
            <w:r>
              <w:rPr>
                <w:sz w:val="15"/>
              </w:rPr>
              <w:t>66,0 %</w:t>
            </w:r>
          </w:p>
        </w:tc>
      </w:tr>
      <w:tr w:rsidR="0083408C">
        <w:trPr>
          <w:cantSplit/>
        </w:trPr>
        <w:tc>
          <w:tcPr>
            <w:tcW w:w="2592" w:type="dxa"/>
          </w:tcPr>
          <w:p w:rsidR="0083408C" w:rsidRDefault="00000000">
            <w:pPr>
              <w:spacing w:after="0"/>
              <w:jc w:val="left"/>
            </w:pPr>
            <w:r>
              <w:rPr>
                <w:b/>
                <w:sz w:val="15"/>
              </w:rPr>
              <w:t>Baseline · regla v2</w:t>
            </w:r>
          </w:p>
        </w:tc>
        <w:tc>
          <w:tcPr>
            <w:tcW w:w="2592" w:type="dxa"/>
          </w:tcPr>
          <w:p w:rsidR="0083408C" w:rsidRDefault="00000000">
            <w:pPr>
              <w:spacing w:after="0"/>
              <w:jc w:val="left"/>
            </w:pPr>
            <w:r>
              <w:rPr>
                <w:sz w:val="15"/>
              </w:rPr>
              <w:t>92,0 · 86,0</w:t>
            </w:r>
          </w:p>
        </w:tc>
        <w:tc>
          <w:tcPr>
            <w:tcW w:w="2592" w:type="dxa"/>
          </w:tcPr>
          <w:p w:rsidR="0083408C" w:rsidRDefault="00000000">
            <w:pPr>
              <w:spacing w:after="0"/>
              <w:jc w:val="left"/>
            </w:pPr>
            <w:r>
              <w:rPr>
                <w:sz w:val="15"/>
              </w:rPr>
              <w:t>89,0 %</w:t>
            </w:r>
          </w:p>
        </w:tc>
        <w:tc>
          <w:tcPr>
            <w:tcW w:w="2592" w:type="dxa"/>
          </w:tcPr>
          <w:p w:rsidR="0083408C" w:rsidRDefault="00000000">
            <w:pPr>
              <w:spacing w:after="0"/>
              <w:jc w:val="left"/>
            </w:pPr>
            <w:r>
              <w:rPr>
                <w:sz w:val="15"/>
              </w:rPr>
              <w:t>70,0 %</w:t>
            </w:r>
          </w:p>
        </w:tc>
      </w:tr>
      <w:tr w:rsidR="0083408C">
        <w:trPr>
          <w:cantSplit/>
        </w:trPr>
        <w:tc>
          <w:tcPr>
            <w:tcW w:w="2592" w:type="dxa"/>
            <w:shd w:val="clear" w:color="auto" w:fill="F2F4F8"/>
          </w:tcPr>
          <w:p w:rsidR="0083408C" w:rsidRDefault="00000000">
            <w:pPr>
              <w:spacing w:after="0"/>
              <w:jc w:val="left"/>
            </w:pPr>
            <w:r>
              <w:rPr>
                <w:b/>
                <w:sz w:val="15"/>
              </w:rPr>
              <w:t>Catálogo · regla v2</w:t>
            </w:r>
          </w:p>
        </w:tc>
        <w:tc>
          <w:tcPr>
            <w:tcW w:w="2592" w:type="dxa"/>
            <w:shd w:val="clear" w:color="auto" w:fill="F2F4F8"/>
          </w:tcPr>
          <w:p w:rsidR="0083408C" w:rsidRDefault="00000000">
            <w:pPr>
              <w:spacing w:after="0"/>
              <w:jc w:val="left"/>
            </w:pPr>
            <w:r>
              <w:rPr>
                <w:sz w:val="15"/>
              </w:rPr>
              <w:t>88,0 · 84,0</w:t>
            </w:r>
          </w:p>
        </w:tc>
        <w:tc>
          <w:tcPr>
            <w:tcW w:w="2592" w:type="dxa"/>
            <w:shd w:val="clear" w:color="auto" w:fill="F2F4F8"/>
          </w:tcPr>
          <w:p w:rsidR="0083408C" w:rsidRDefault="00000000">
            <w:pPr>
              <w:spacing w:after="0"/>
              <w:jc w:val="left"/>
            </w:pPr>
            <w:r>
              <w:rPr>
                <w:sz w:val="15"/>
              </w:rPr>
              <w:t>86,0 %</w:t>
            </w:r>
          </w:p>
        </w:tc>
        <w:tc>
          <w:tcPr>
            <w:tcW w:w="2592" w:type="dxa"/>
            <w:shd w:val="clear" w:color="auto" w:fill="F2F4F8"/>
          </w:tcPr>
          <w:p w:rsidR="0083408C" w:rsidRDefault="00000000">
            <w:pPr>
              <w:spacing w:after="0"/>
              <w:jc w:val="left"/>
            </w:pPr>
            <w:r>
              <w:rPr>
                <w:sz w:val="15"/>
              </w:rPr>
              <w:t>66,0 %</w:t>
            </w:r>
          </w:p>
        </w:tc>
      </w:tr>
    </w:tbl>
    <w:p w:rsidR="0083408C" w:rsidRDefault="00000000">
      <w:pPr>
        <w:spacing w:before="40" w:after="160"/>
        <w:jc w:val="left"/>
      </w:pPr>
      <w:r>
        <w:rPr>
          <w:i/>
          <w:sz w:val="15"/>
        </w:rPr>
        <w:t xml:space="preserve">Las dos cifras de la segunda columna son las corridas por separado, no un intervalo. Set de 50 preguntas con los golds auditados, temperatura 0, esquema de doce tablas. Artefactos: output/eval/a9-*.json y a9b-*.json. La referencia sobre el mismo set y los mismos golds antes del refactor es 82,0 % (baseline) y 82,7 % (RAG de catálogo). </w:t>
      </w:r>
      <w:r>
        <w:rPr>
          <w:sz w:val="15"/>
        </w:rPr>
        <w:t>regla v1/v2</w:t>
      </w:r>
      <w:r>
        <w:rPr>
          <w:i/>
          <w:sz w:val="15"/>
        </w:rPr>
        <w:t xml:space="preserve"> es la primera y la segunda versión de la regla de tipo_asiento; las dimensiones son las cinco columnas derivadas del libro mayor.</w:t>
      </w:r>
    </w:p>
    <w:p w:rsidR="0083408C" w:rsidRDefault="00000000">
      <w:r>
        <w:lastRenderedPageBreak/>
        <w:t xml:space="preserve">Tres lecturas. El cuello de botella no era el retrieval sino el modelado: el refactor sube el baseline unos siete puntos y el catálogo unos tres sin tocar el RAG, y donde apuntaba acertó —q36, q37 y q38 pasan de 3 aciertos de 21 a 11 de 12, con el agente escribiendo por su cuenta cuenta_3d = '635' y tipo_asiento = 'operativo'—. Baseline y catálogo siguen siendo indistinguibles —1,5 preguntas, por debajo del ruido—, de modo que la ventaja del catálogo sigue siendo de coste y no de acierto. Y la tercera es la más instructiva: una regla mal escrita cuesta puntos. La primera versión decía </w:t>
      </w:r>
      <w:r>
        <w:rPr>
          <w:i/>
        </w:rPr>
        <w:t>en cuentas de balance filtra tipo_asiento = 'operativo'</w:t>
      </w:r>
      <w:r>
        <w:t xml:space="preserve"> sin distinguir qué se pregunta, </w:t>
      </w:r>
      <w:r>
        <w:t>y q25 pasó de acertar siempre a fallar en las cuatro corridas; la distinción correcta no es el elemento de la cuenta sino si se pregunta una magnitud económica o los movimientos literales. Los seis puntos entre la primera y la tercera fila de la tabla salen de esa frase.</w:t>
      </w:r>
    </w:p>
    <w:p w:rsidR="0083408C" w:rsidRDefault="00000000">
      <w:pPr>
        <w:pStyle w:val="Heading2"/>
        <w:spacing w:before="160" w:after="40"/>
        <w:jc w:val="left"/>
      </w:pPr>
      <w:r>
        <w:rPr>
          <w:rFonts w:ascii="Times New Roman" w:hAnsi="Times New Roman"/>
          <w:b w:val="0"/>
          <w:i/>
          <w:sz w:val="20"/>
        </w:rPr>
        <w:t>E.  Análisis de errores</w:t>
      </w:r>
    </w:p>
    <w:p w:rsidR="0083408C" w:rsidRDefault="00000000">
      <w:r>
        <w:t>Los fallos se agrupan en tipos bien diferenciados, y conviene no confundirlos: solo algunos son de comprensión del lenguaje; el resto son de forma, de instrumento o de infraestructura.</w:t>
      </w:r>
    </w:p>
    <w:p w:rsidR="0083408C" w:rsidRDefault="0083408C">
      <w:pPr>
        <w:sectPr w:rsidR="0083408C">
          <w:type w:val="continuous"/>
          <w:pgSz w:w="12240" w:h="15840"/>
          <w:pgMar w:top="1009" w:right="935" w:bottom="1009" w:left="935" w:header="720" w:footer="720" w:gutter="0"/>
          <w:cols w:num="2" w:space="288"/>
          <w:docGrid w:linePitch="360"/>
        </w:sectPr>
      </w:pPr>
    </w:p>
    <w:p w:rsidR="0083408C" w:rsidRDefault="00000000">
      <w:pPr>
        <w:keepNext/>
        <w:spacing w:before="160" w:after="40"/>
        <w:jc w:val="left"/>
      </w:pPr>
      <w:r>
        <w:rPr>
          <w:b/>
          <w:sz w:val="16"/>
        </w:rPr>
        <w:t>Tabla 13. Tipología de errores</w:t>
      </w:r>
    </w:p>
    <w:tbl>
      <w:tblPr>
        <w:tblStyle w:val="TableGrid"/>
        <w:tblW w:w="0" w:type="auto"/>
        <w:tblLook w:val="04A0" w:firstRow="1" w:lastRow="0" w:firstColumn="1" w:lastColumn="0" w:noHBand="0" w:noVBand="1"/>
      </w:tblPr>
      <w:tblGrid>
        <w:gridCol w:w="3457"/>
        <w:gridCol w:w="3457"/>
        <w:gridCol w:w="3457"/>
      </w:tblGrid>
      <w:tr w:rsidR="0083408C">
        <w:trPr>
          <w:tblHeader/>
        </w:trPr>
        <w:tc>
          <w:tcPr>
            <w:tcW w:w="3457" w:type="dxa"/>
            <w:shd w:val="clear" w:color="auto" w:fill="1F3864"/>
          </w:tcPr>
          <w:p w:rsidR="0083408C" w:rsidRDefault="00000000">
            <w:pPr>
              <w:spacing w:after="0"/>
              <w:jc w:val="left"/>
            </w:pPr>
            <w:r>
              <w:rPr>
                <w:b/>
                <w:color w:val="FFFFFF"/>
                <w:sz w:val="15"/>
              </w:rPr>
              <w:t>Tipo</w:t>
            </w:r>
          </w:p>
        </w:tc>
        <w:tc>
          <w:tcPr>
            <w:tcW w:w="3457" w:type="dxa"/>
            <w:shd w:val="clear" w:color="auto" w:fill="1F3864"/>
          </w:tcPr>
          <w:p w:rsidR="0083408C" w:rsidRDefault="00000000">
            <w:pPr>
              <w:spacing w:after="0"/>
              <w:jc w:val="left"/>
            </w:pPr>
            <w:r>
              <w:rPr>
                <w:b/>
                <w:color w:val="FFFFFF"/>
                <w:sz w:val="15"/>
              </w:rPr>
              <w:t>Descripción</w:t>
            </w:r>
          </w:p>
        </w:tc>
        <w:tc>
          <w:tcPr>
            <w:tcW w:w="3457" w:type="dxa"/>
            <w:shd w:val="clear" w:color="auto" w:fill="1F3864"/>
          </w:tcPr>
          <w:p w:rsidR="0083408C" w:rsidRDefault="00000000">
            <w:pPr>
              <w:spacing w:after="0"/>
              <w:jc w:val="left"/>
            </w:pPr>
            <w:r>
              <w:rPr>
                <w:b/>
                <w:color w:val="FFFFFF"/>
                <w:sz w:val="15"/>
              </w:rPr>
              <w:t>Ejemplo observado</w:t>
            </w:r>
          </w:p>
        </w:tc>
      </w:tr>
      <w:tr w:rsidR="0083408C">
        <w:trPr>
          <w:cantSplit/>
        </w:trPr>
        <w:tc>
          <w:tcPr>
            <w:tcW w:w="3457" w:type="dxa"/>
          </w:tcPr>
          <w:p w:rsidR="0083408C" w:rsidRDefault="00000000">
            <w:pPr>
              <w:spacing w:after="0"/>
              <w:jc w:val="left"/>
            </w:pPr>
            <w:r>
              <w:rPr>
                <w:b/>
                <w:sz w:val="15"/>
              </w:rPr>
              <w:t>Forma del resultado</w:t>
            </w:r>
          </w:p>
        </w:tc>
        <w:tc>
          <w:tcPr>
            <w:tcW w:w="3457" w:type="dxa"/>
          </w:tcPr>
          <w:p w:rsidR="0083408C" w:rsidRDefault="00000000">
            <w:pPr>
              <w:spacing w:after="0"/>
              <w:jc w:val="left"/>
            </w:pPr>
            <w:r>
              <w:rPr>
                <w:sz w:val="15"/>
              </w:rPr>
              <w:t>SQL semánticamente correcto que devuelve columnas de más, un tipo distinto o un cálculo equivalente. La métrica estricta lo cuenta como error, igual que en los benchmarks estándar</w:t>
            </w:r>
          </w:p>
        </w:tc>
        <w:tc>
          <w:tcPr>
            <w:tcW w:w="3457" w:type="dxa"/>
          </w:tcPr>
          <w:p w:rsidR="0083408C" w:rsidRDefault="00000000">
            <w:pPr>
              <w:spacing w:after="0"/>
              <w:jc w:val="left"/>
            </w:pPr>
            <w:r>
              <w:rPr>
                <w:sz w:val="15"/>
              </w:rPr>
              <w:t>q47, q48: gold de 1 columna, predicción de 2 y 3; q13: el año como cadena; q44: promedio ponderado en vez de AVG</w:t>
            </w:r>
          </w:p>
        </w:tc>
      </w:tr>
      <w:tr w:rsidR="0083408C">
        <w:trPr>
          <w:cantSplit/>
        </w:trPr>
        <w:tc>
          <w:tcPr>
            <w:tcW w:w="3457" w:type="dxa"/>
            <w:shd w:val="clear" w:color="auto" w:fill="F2F4F8"/>
          </w:tcPr>
          <w:p w:rsidR="0083408C" w:rsidRDefault="00000000">
            <w:pPr>
              <w:spacing w:after="0"/>
              <w:jc w:val="left"/>
            </w:pPr>
            <w:r>
              <w:rPr>
                <w:b/>
                <w:sz w:val="15"/>
              </w:rPr>
              <w:t>Sobre-restricción por la cuenta contable</w:t>
            </w:r>
          </w:p>
        </w:tc>
        <w:tc>
          <w:tcPr>
            <w:tcW w:w="3457" w:type="dxa"/>
            <w:shd w:val="clear" w:color="auto" w:fill="F2F4F8"/>
          </w:tcPr>
          <w:p w:rsidR="0083408C" w:rsidRDefault="00000000">
            <w:pPr>
              <w:spacing w:after="0"/>
              <w:jc w:val="left"/>
            </w:pPr>
            <w:r>
              <w:rPr>
                <w:sz w:val="15"/>
              </w:rPr>
              <w:t>Con las fichas del PCGE delante, el modelo añade AND cuenta_contable LIKE 'NNN%' al filtro de glosa, o lo sustituye, y el filtro se queda sin filas</w:t>
            </w:r>
          </w:p>
        </w:tc>
        <w:tc>
          <w:tcPr>
            <w:tcW w:w="3457" w:type="dxa"/>
            <w:shd w:val="clear" w:color="auto" w:fill="F2F4F8"/>
          </w:tcPr>
          <w:p w:rsidR="0083408C" w:rsidRDefault="00000000">
            <w:pPr>
              <w:spacing w:after="0"/>
              <w:jc w:val="left"/>
            </w:pPr>
            <w:r>
              <w:rPr>
                <w:sz w:val="15"/>
              </w:rPr>
              <w:t>catalogo-56: ocurre en diez de las quince preguntas de glosa</w:t>
            </w:r>
          </w:p>
        </w:tc>
      </w:tr>
      <w:tr w:rsidR="0083408C">
        <w:trPr>
          <w:cantSplit/>
        </w:trPr>
        <w:tc>
          <w:tcPr>
            <w:tcW w:w="3457" w:type="dxa"/>
          </w:tcPr>
          <w:p w:rsidR="0083408C" w:rsidRDefault="00000000">
            <w:pPr>
              <w:spacing w:after="0"/>
              <w:jc w:val="left"/>
            </w:pPr>
            <w:r>
              <w:rPr>
                <w:b/>
                <w:sz w:val="15"/>
              </w:rPr>
              <w:t>Vocabulario incompleto o exclusión defensiva</w:t>
            </w:r>
          </w:p>
        </w:tc>
        <w:tc>
          <w:tcPr>
            <w:tcW w:w="3457" w:type="dxa"/>
          </w:tcPr>
          <w:p w:rsidR="0083408C" w:rsidRDefault="00000000">
            <w:pPr>
              <w:spacing w:after="0"/>
              <w:jc w:val="left"/>
            </w:pPr>
            <w:r>
              <w:rPr>
                <w:sz w:val="15"/>
              </w:rPr>
              <w:t>El modelo elige un conjunto de raíces razonable pero distinto del del anotador, o añade exclusiones que el gold no tiene tras la advertencia sobre los vecinos falsos</w:t>
            </w:r>
          </w:p>
        </w:tc>
        <w:tc>
          <w:tcPr>
            <w:tcW w:w="3457" w:type="dxa"/>
          </w:tcPr>
          <w:p w:rsidR="0083408C" w:rsidRDefault="00000000">
            <w:pPr>
              <w:spacing w:after="0"/>
              <w:jc w:val="left"/>
            </w:pPr>
            <w:r>
              <w:rPr>
                <w:sz w:val="15"/>
              </w:rPr>
              <w:t>q49: busca RECUBRIMIENTOS y NAVAL, el gold VARADER y ESMERIL. q33: MANTEN% AND NOT CUENTA% AND NOT CTA%</w:t>
            </w:r>
          </w:p>
        </w:tc>
      </w:tr>
      <w:tr w:rsidR="0083408C">
        <w:trPr>
          <w:cantSplit/>
        </w:trPr>
        <w:tc>
          <w:tcPr>
            <w:tcW w:w="3457" w:type="dxa"/>
            <w:shd w:val="clear" w:color="auto" w:fill="F2F4F8"/>
          </w:tcPr>
          <w:p w:rsidR="0083408C" w:rsidRDefault="00000000">
            <w:pPr>
              <w:spacing w:after="0"/>
              <w:jc w:val="left"/>
            </w:pPr>
            <w:r>
              <w:rPr>
                <w:b/>
                <w:sz w:val="15"/>
              </w:rPr>
              <w:t>Conocimiento de dominio ausente</w:t>
            </w:r>
          </w:p>
        </w:tc>
        <w:tc>
          <w:tcPr>
            <w:tcW w:w="3457" w:type="dxa"/>
            <w:shd w:val="clear" w:color="auto" w:fill="F2F4F8"/>
          </w:tcPr>
          <w:p w:rsidR="0083408C" w:rsidRDefault="00000000">
            <w:pPr>
              <w:spacing w:after="0"/>
              <w:jc w:val="left"/>
            </w:pPr>
            <w:r>
              <w:rPr>
                <w:sz w:val="15"/>
              </w:rPr>
              <w:t>La pregunta exige saber a qué familia del plan de cuentas pertenece un concepto</w:t>
            </w:r>
          </w:p>
        </w:tc>
        <w:tc>
          <w:tcPr>
            <w:tcW w:w="3457" w:type="dxa"/>
            <w:shd w:val="clear" w:color="auto" w:fill="F2F4F8"/>
          </w:tcPr>
          <w:p w:rsidR="0083408C" w:rsidRDefault="00000000">
            <w:pPr>
              <w:spacing w:after="0"/>
              <w:jc w:val="left"/>
            </w:pPr>
            <w:r>
              <w:rPr>
                <w:i/>
                <w:sz w:val="15"/>
              </w:rPr>
              <w:t>cargas de personal</w:t>
            </w:r>
            <w:r>
              <w:rPr>
                <w:sz w:val="15"/>
              </w:rPr>
              <w:t xml:space="preserve"> → 62x, </w:t>
            </w:r>
            <w:r>
              <w:rPr>
                <w:i/>
                <w:sz w:val="15"/>
              </w:rPr>
              <w:t>servicios prestados por terceros</w:t>
            </w:r>
            <w:r>
              <w:rPr>
                <w:sz w:val="15"/>
              </w:rPr>
              <w:t xml:space="preserve"> → 63x</w:t>
            </w:r>
          </w:p>
        </w:tc>
      </w:tr>
    </w:tbl>
    <w:p w:rsidR="0083408C" w:rsidRDefault="0083408C">
      <w:pPr>
        <w:sectPr w:rsidR="0083408C">
          <w:type w:val="continuous"/>
          <w:pgSz w:w="12240" w:h="15840"/>
          <w:pgMar w:top="1009" w:right="935" w:bottom="1009" w:left="935" w:header="720" w:footer="720" w:gutter="0"/>
          <w:cols w:space="288"/>
          <w:docGrid w:linePitch="360"/>
        </w:sectPr>
      </w:pPr>
    </w:p>
    <w:p w:rsidR="0083408C" w:rsidRDefault="00000000">
      <w:r>
        <w:t>El error dominante hoy es de vocabulario, no de comprensión: al inspeccionar el SQL generado se ve que el agente entiende la pregunta y lo que falla es la coincidencia exacta del conjunto de raíces léxicas. El caso extremo es q35, donde el gold busca '%TRIPULA%', la predicción '%TRIPUL%' y el veredicto es fallo por dos caracteres; la métrica es correcta —el número que vería el usuario es distinto— pero atribuye a comprensión lo que es cobertura léxica.</w:t>
      </w:r>
    </w:p>
    <w:p w:rsidR="0083408C" w:rsidRDefault="00000000">
      <w:pPr>
        <w:keepNext/>
        <w:spacing w:before="120" w:after="40"/>
        <w:jc w:val="center"/>
      </w:pPr>
      <w:r>
        <w:rPr>
          <w:noProof/>
        </w:rPr>
        <w:drawing>
          <wp:inline distT="0" distB="0" distL="0" distR="0">
            <wp:extent cx="3096000" cy="12115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vocab.png"/>
                    <pic:cNvPicPr/>
                  </pic:nvPicPr>
                  <pic:blipFill>
                    <a:blip r:embed="rId13"/>
                    <a:stretch>
                      <a:fillRect/>
                    </a:stretch>
                  </pic:blipFill>
                  <pic:spPr>
                    <a:xfrm>
                      <a:off x="0" y="0"/>
                      <a:ext cx="3096000" cy="1211579"/>
                    </a:xfrm>
                    <a:prstGeom prst="rect">
                      <a:avLst/>
                    </a:prstGeom>
                  </pic:spPr>
                </pic:pic>
              </a:graphicData>
            </a:graphic>
          </wp:inline>
        </w:drawing>
      </w:r>
    </w:p>
    <w:p w:rsidR="0083408C" w:rsidRDefault="00000000">
      <w:pPr>
        <w:spacing w:after="160"/>
        <w:jc w:val="center"/>
      </w:pPr>
      <w:r>
        <w:rPr>
          <w:i/>
          <w:color w:val="606060"/>
          <w:sz w:val="16"/>
        </w:rPr>
        <w:t>Fig. 5. Las tres consultas son defendibles en español y ninguna de las dos predicciones cuenta como acierto. La diferencia está en las marcas comerciales, que es justo el conocimiento del corpus que la búsqueda semántica debía aportar y no aportó.</w:t>
      </w:r>
    </w:p>
    <w:p w:rsidR="0083408C" w:rsidRDefault="00000000">
      <w:r>
        <w:t xml:space="preserve">En la dirección contraria hay una cosa comprobada: el fallo que motivó el rediseño desapareció, y en las cuatro corridas de 56 no queda ni una consulta con glosa IN (...). Lo que NO se sostiene es la lectura optimista de que el catálogo sume fuera de glosa: sube donde el concepto tiene código contable —cuenta_contable de 5/7 a 7/7, entidad de 7/9 a 9/9— y baja en tres categorías más, incluida tributario, que cae de 6/6 a 4/6. </w:t>
      </w:r>
      <w:r>
        <w:t>Lo que se mantiene en todas las corridas es la agregación simple y la temporal: la traducción de lenguaje natural a SQL funciona, y el problema abierto es qué literal poner en el WHERE.</w:t>
      </w:r>
    </w:p>
    <w:p w:rsidR="0083408C" w:rsidRDefault="00000000">
      <w:pPr>
        <w:pStyle w:val="Heading2"/>
        <w:spacing w:before="160" w:after="40"/>
        <w:jc w:val="left"/>
      </w:pPr>
      <w:r>
        <w:rPr>
          <w:rFonts w:ascii="Times New Roman" w:hAnsi="Times New Roman"/>
          <w:b w:val="0"/>
          <w:i/>
          <w:sz w:val="20"/>
        </w:rPr>
        <w:t>F.  Selección del modelo generador de SQL</w:t>
      </w:r>
    </w:p>
    <w:p w:rsidR="0083408C" w:rsidRDefault="00000000">
      <w:r>
        <w:t>El modelo que escribe el SQL se había heredado de la configuración inicial del proyecto. Esta campaña lo somete a medición: se congela todo —el conjunto de 50 preguntas con los golds auditados, temperatura 0, catálogo completo en el prompt, sin recuperación y el mismo modelo de redacción— y se varía únicamente el modelo del rol 'sql'; la indirección get_llm(rol) de la sección V-F es lo que la hace barata, porque no se toca una línea del agente. El protocolo va en dos etapas para no gastar corridas donde no informan: una criba de una corrida por candidato y la segunda solo para los que quedan dentro del suelo de ruido del mejor, de modo que la norma de dos corridas se cumple donde se decide.</w:t>
      </w:r>
    </w:p>
    <w:p w:rsidR="0083408C" w:rsidRDefault="00000000">
      <w:r>
        <w:t>Los candidatos no se eligieron por preferencia: el criterio es el single-model track de BIRD [14], del que se toma el representante más reciente de cada familia disponible en el endpoint, más dos contrastes internos de tier alto contra tier barato dentro de la misma familia. Dos exclusiones hay que declararlas: GPT y Claude no están expuestos en el endpoint, y DeepSeek V4 —el modelo que estaba configurado por defecto— devuelve 403 RegionError, o sea que quedó fuera por indisponibilidad y no por rendimiento.</w:t>
      </w:r>
    </w:p>
    <w:p w:rsidR="0083408C" w:rsidRDefault="0083408C">
      <w:pPr>
        <w:sectPr w:rsidR="0083408C">
          <w:type w:val="continuous"/>
          <w:pgSz w:w="12240" w:h="15840"/>
          <w:pgMar w:top="1009" w:right="935" w:bottom="1009" w:left="935" w:header="720" w:footer="720" w:gutter="0"/>
          <w:cols w:num="2" w:space="288"/>
          <w:docGrid w:linePitch="360"/>
        </w:sectPr>
      </w:pPr>
    </w:p>
    <w:p w:rsidR="0083408C" w:rsidRDefault="00000000">
      <w:pPr>
        <w:keepNext/>
        <w:spacing w:before="160" w:after="40"/>
        <w:jc w:val="left"/>
      </w:pPr>
      <w:r>
        <w:rPr>
          <w:b/>
          <w:sz w:val="16"/>
        </w:rPr>
        <w:t>Tabla 14. Selección de modelo para el rol 'sql' (n = 50)</w:t>
      </w:r>
    </w:p>
    <w:tbl>
      <w:tblPr>
        <w:tblStyle w:val="TableGrid"/>
        <w:tblW w:w="0" w:type="auto"/>
        <w:tblLook w:val="04A0" w:firstRow="1" w:lastRow="0" w:firstColumn="1" w:lastColumn="0" w:noHBand="0" w:noVBand="1"/>
      </w:tblPr>
      <w:tblGrid>
        <w:gridCol w:w="1728"/>
        <w:gridCol w:w="1728"/>
        <w:gridCol w:w="1728"/>
        <w:gridCol w:w="1728"/>
        <w:gridCol w:w="1728"/>
        <w:gridCol w:w="1728"/>
      </w:tblGrid>
      <w:tr w:rsidR="0083408C">
        <w:trPr>
          <w:tblHeader/>
        </w:trPr>
        <w:tc>
          <w:tcPr>
            <w:tcW w:w="1728" w:type="dxa"/>
            <w:shd w:val="clear" w:color="auto" w:fill="1F3864"/>
          </w:tcPr>
          <w:p w:rsidR="0083408C" w:rsidRDefault="00000000">
            <w:pPr>
              <w:spacing w:after="0"/>
              <w:jc w:val="left"/>
            </w:pPr>
            <w:r>
              <w:rPr>
                <w:b/>
                <w:color w:val="FFFFFF"/>
                <w:sz w:val="15"/>
              </w:rPr>
              <w:t>Modelo</w:t>
            </w:r>
          </w:p>
        </w:tc>
        <w:tc>
          <w:tcPr>
            <w:tcW w:w="1728" w:type="dxa"/>
            <w:shd w:val="clear" w:color="auto" w:fill="1F3864"/>
          </w:tcPr>
          <w:p w:rsidR="0083408C" w:rsidRDefault="00000000">
            <w:pPr>
              <w:spacing w:after="0"/>
              <w:jc w:val="left"/>
            </w:pPr>
            <w:r>
              <w:rPr>
                <w:b/>
                <w:color w:val="FFFFFF"/>
                <w:sz w:val="15"/>
              </w:rPr>
              <w:t>Parámetros: total · activos</w:t>
            </w:r>
          </w:p>
        </w:tc>
        <w:tc>
          <w:tcPr>
            <w:tcW w:w="1728" w:type="dxa"/>
            <w:shd w:val="clear" w:color="auto" w:fill="1F3864"/>
          </w:tcPr>
          <w:p w:rsidR="0083408C" w:rsidRDefault="00000000">
            <w:pPr>
              <w:spacing w:after="0"/>
              <w:jc w:val="left"/>
            </w:pPr>
            <w:r>
              <w:rPr>
                <w:b/>
                <w:color w:val="FFFFFF"/>
                <w:sz w:val="15"/>
              </w:rPr>
              <w:t>Acierto</w:t>
            </w:r>
          </w:p>
        </w:tc>
        <w:tc>
          <w:tcPr>
            <w:tcW w:w="1728" w:type="dxa"/>
            <w:shd w:val="clear" w:color="auto" w:fill="1F3864"/>
          </w:tcPr>
          <w:p w:rsidR="0083408C" w:rsidRDefault="00000000">
            <w:pPr>
              <w:spacing w:after="0"/>
              <w:jc w:val="left"/>
            </w:pPr>
            <w:r>
              <w:rPr>
                <w:b/>
                <w:color w:val="FFFFFF"/>
                <w:sz w:val="15"/>
              </w:rPr>
              <w:t>Estricta</w:t>
            </w:r>
          </w:p>
        </w:tc>
        <w:tc>
          <w:tcPr>
            <w:tcW w:w="1728" w:type="dxa"/>
            <w:shd w:val="clear" w:color="auto" w:fill="1F3864"/>
          </w:tcPr>
          <w:p w:rsidR="0083408C" w:rsidRDefault="00000000">
            <w:pPr>
              <w:spacing w:after="0"/>
              <w:jc w:val="left"/>
            </w:pPr>
            <w:r>
              <w:rPr>
                <w:b/>
                <w:color w:val="FFFFFF"/>
                <w:sz w:val="15"/>
              </w:rPr>
              <w:t>s/preg.</w:t>
            </w:r>
          </w:p>
        </w:tc>
        <w:tc>
          <w:tcPr>
            <w:tcW w:w="1728" w:type="dxa"/>
            <w:shd w:val="clear" w:color="auto" w:fill="1F3864"/>
          </w:tcPr>
          <w:p w:rsidR="0083408C" w:rsidRDefault="00000000">
            <w:pPr>
              <w:spacing w:after="0"/>
              <w:jc w:val="left"/>
            </w:pPr>
            <w:r>
              <w:rPr>
                <w:b/>
                <w:color w:val="FFFFFF"/>
                <w:sz w:val="15"/>
              </w:rPr>
              <w:t>tokens/preg.</w:t>
            </w:r>
          </w:p>
        </w:tc>
      </w:tr>
      <w:tr w:rsidR="0083408C">
        <w:trPr>
          <w:cantSplit/>
        </w:trPr>
        <w:tc>
          <w:tcPr>
            <w:tcW w:w="1728" w:type="dxa"/>
          </w:tcPr>
          <w:p w:rsidR="0083408C" w:rsidRDefault="00000000">
            <w:pPr>
              <w:spacing w:after="0"/>
              <w:jc w:val="left"/>
            </w:pPr>
            <w:r>
              <w:rPr>
                <w:b/>
                <w:sz w:val="15"/>
              </w:rPr>
              <w:t>glm-5.3</w:t>
            </w:r>
          </w:p>
        </w:tc>
        <w:tc>
          <w:tcPr>
            <w:tcW w:w="1728" w:type="dxa"/>
          </w:tcPr>
          <w:p w:rsidR="0083408C" w:rsidRDefault="00000000">
            <w:pPr>
              <w:spacing w:after="0"/>
              <w:jc w:val="left"/>
            </w:pPr>
            <w:r>
              <w:rPr>
                <w:sz w:val="15"/>
              </w:rPr>
              <w:t>744 B · 40 B</w:t>
            </w:r>
          </w:p>
        </w:tc>
        <w:tc>
          <w:tcPr>
            <w:tcW w:w="1728" w:type="dxa"/>
          </w:tcPr>
          <w:p w:rsidR="0083408C" w:rsidRDefault="00000000">
            <w:pPr>
              <w:spacing w:after="0"/>
              <w:jc w:val="left"/>
            </w:pPr>
            <w:r>
              <w:rPr>
                <w:sz w:val="15"/>
              </w:rPr>
              <w:t>92,0 %</w:t>
            </w:r>
          </w:p>
        </w:tc>
        <w:tc>
          <w:tcPr>
            <w:tcW w:w="1728" w:type="dxa"/>
          </w:tcPr>
          <w:p w:rsidR="0083408C" w:rsidRDefault="00000000">
            <w:pPr>
              <w:spacing w:after="0"/>
              <w:jc w:val="left"/>
            </w:pPr>
            <w:r>
              <w:rPr>
                <w:sz w:val="15"/>
              </w:rPr>
              <w:t>82,0 %</w:t>
            </w:r>
          </w:p>
        </w:tc>
        <w:tc>
          <w:tcPr>
            <w:tcW w:w="1728" w:type="dxa"/>
          </w:tcPr>
          <w:p w:rsidR="0083408C" w:rsidRDefault="00000000">
            <w:pPr>
              <w:spacing w:after="0"/>
              <w:jc w:val="left"/>
            </w:pPr>
            <w:r>
              <w:rPr>
                <w:sz w:val="15"/>
              </w:rPr>
              <w:t>23,4</w:t>
            </w:r>
          </w:p>
        </w:tc>
        <w:tc>
          <w:tcPr>
            <w:tcW w:w="1728" w:type="dxa"/>
          </w:tcPr>
          <w:p w:rsidR="0083408C" w:rsidRDefault="00000000">
            <w:pPr>
              <w:spacing w:after="0"/>
              <w:jc w:val="left"/>
            </w:pPr>
            <w:r>
              <w:rPr>
                <w:sz w:val="15"/>
              </w:rPr>
              <w:t>9.618</w:t>
            </w:r>
          </w:p>
        </w:tc>
      </w:tr>
      <w:tr w:rsidR="0083408C">
        <w:trPr>
          <w:cantSplit/>
        </w:trPr>
        <w:tc>
          <w:tcPr>
            <w:tcW w:w="1728" w:type="dxa"/>
            <w:shd w:val="clear" w:color="auto" w:fill="F2F4F8"/>
          </w:tcPr>
          <w:p w:rsidR="0083408C" w:rsidRDefault="00000000">
            <w:pPr>
              <w:spacing w:after="0"/>
              <w:jc w:val="left"/>
            </w:pPr>
            <w:r>
              <w:rPr>
                <w:b/>
                <w:sz w:val="15"/>
              </w:rPr>
              <w:t>kimi-k2.6</w:t>
            </w:r>
          </w:p>
        </w:tc>
        <w:tc>
          <w:tcPr>
            <w:tcW w:w="1728" w:type="dxa"/>
            <w:shd w:val="clear" w:color="auto" w:fill="F2F4F8"/>
          </w:tcPr>
          <w:p w:rsidR="0083408C" w:rsidRDefault="00000000">
            <w:pPr>
              <w:spacing w:after="0"/>
              <w:jc w:val="left"/>
            </w:pPr>
            <w:r>
              <w:rPr>
                <w:sz w:val="15"/>
              </w:rPr>
              <w:t>1 T · 32 B</w:t>
            </w:r>
          </w:p>
        </w:tc>
        <w:tc>
          <w:tcPr>
            <w:tcW w:w="1728" w:type="dxa"/>
            <w:shd w:val="clear" w:color="auto" w:fill="F2F4F8"/>
          </w:tcPr>
          <w:p w:rsidR="0083408C" w:rsidRDefault="00000000">
            <w:pPr>
              <w:spacing w:after="0"/>
              <w:jc w:val="left"/>
            </w:pPr>
            <w:r>
              <w:rPr>
                <w:sz w:val="15"/>
              </w:rPr>
              <w:t>92,0 %</w:t>
            </w:r>
          </w:p>
        </w:tc>
        <w:tc>
          <w:tcPr>
            <w:tcW w:w="1728" w:type="dxa"/>
            <w:shd w:val="clear" w:color="auto" w:fill="F2F4F8"/>
          </w:tcPr>
          <w:p w:rsidR="0083408C" w:rsidRDefault="00000000">
            <w:pPr>
              <w:spacing w:after="0"/>
              <w:jc w:val="left"/>
            </w:pPr>
            <w:r>
              <w:rPr>
                <w:sz w:val="15"/>
              </w:rPr>
              <w:t>78,0 %</w:t>
            </w:r>
          </w:p>
        </w:tc>
        <w:tc>
          <w:tcPr>
            <w:tcW w:w="1728" w:type="dxa"/>
            <w:shd w:val="clear" w:color="auto" w:fill="F2F4F8"/>
          </w:tcPr>
          <w:p w:rsidR="0083408C" w:rsidRDefault="00000000">
            <w:pPr>
              <w:spacing w:after="0"/>
              <w:jc w:val="left"/>
            </w:pPr>
            <w:r>
              <w:rPr>
                <w:sz w:val="15"/>
              </w:rPr>
              <w:t>22,5</w:t>
            </w:r>
          </w:p>
        </w:tc>
        <w:tc>
          <w:tcPr>
            <w:tcW w:w="1728" w:type="dxa"/>
            <w:shd w:val="clear" w:color="auto" w:fill="F2F4F8"/>
          </w:tcPr>
          <w:p w:rsidR="0083408C" w:rsidRDefault="00000000">
            <w:pPr>
              <w:spacing w:after="0"/>
              <w:jc w:val="left"/>
            </w:pPr>
            <w:r>
              <w:rPr>
                <w:sz w:val="15"/>
              </w:rPr>
              <w:t>14.632</w:t>
            </w:r>
          </w:p>
        </w:tc>
      </w:tr>
      <w:tr w:rsidR="0083408C">
        <w:trPr>
          <w:cantSplit/>
        </w:trPr>
        <w:tc>
          <w:tcPr>
            <w:tcW w:w="1728" w:type="dxa"/>
          </w:tcPr>
          <w:p w:rsidR="0083408C" w:rsidRDefault="00000000">
            <w:pPr>
              <w:spacing w:after="0"/>
              <w:jc w:val="left"/>
            </w:pPr>
            <w:r>
              <w:rPr>
                <w:b/>
                <w:sz w:val="15"/>
              </w:rPr>
              <w:t>kimi-k2.7-code</w:t>
            </w:r>
          </w:p>
        </w:tc>
        <w:tc>
          <w:tcPr>
            <w:tcW w:w="1728" w:type="dxa"/>
          </w:tcPr>
          <w:p w:rsidR="0083408C" w:rsidRDefault="00000000">
            <w:pPr>
              <w:spacing w:after="0"/>
              <w:jc w:val="left"/>
            </w:pPr>
            <w:r>
              <w:rPr>
                <w:sz w:val="15"/>
              </w:rPr>
              <w:t>1 T · 32 B</w:t>
            </w:r>
          </w:p>
        </w:tc>
        <w:tc>
          <w:tcPr>
            <w:tcW w:w="1728" w:type="dxa"/>
          </w:tcPr>
          <w:p w:rsidR="0083408C" w:rsidRDefault="00000000">
            <w:pPr>
              <w:spacing w:after="0"/>
              <w:jc w:val="left"/>
            </w:pPr>
            <w:r>
              <w:rPr>
                <w:sz w:val="15"/>
              </w:rPr>
              <w:t>92,0 %</w:t>
            </w:r>
          </w:p>
        </w:tc>
        <w:tc>
          <w:tcPr>
            <w:tcW w:w="1728" w:type="dxa"/>
          </w:tcPr>
          <w:p w:rsidR="0083408C" w:rsidRDefault="00000000">
            <w:pPr>
              <w:spacing w:after="0"/>
              <w:jc w:val="left"/>
            </w:pPr>
            <w:r>
              <w:rPr>
                <w:sz w:val="15"/>
              </w:rPr>
              <w:t>76,0 %</w:t>
            </w:r>
          </w:p>
        </w:tc>
        <w:tc>
          <w:tcPr>
            <w:tcW w:w="1728" w:type="dxa"/>
          </w:tcPr>
          <w:p w:rsidR="0083408C" w:rsidRDefault="00000000">
            <w:pPr>
              <w:spacing w:after="0"/>
              <w:jc w:val="left"/>
            </w:pPr>
            <w:r>
              <w:rPr>
                <w:sz w:val="15"/>
              </w:rPr>
              <w:t>38,5</w:t>
            </w:r>
          </w:p>
        </w:tc>
        <w:tc>
          <w:tcPr>
            <w:tcW w:w="1728" w:type="dxa"/>
          </w:tcPr>
          <w:p w:rsidR="0083408C" w:rsidRDefault="00000000">
            <w:pPr>
              <w:spacing w:after="0"/>
              <w:jc w:val="left"/>
            </w:pPr>
            <w:r>
              <w:rPr>
                <w:sz w:val="15"/>
              </w:rPr>
              <w:t>11.615</w:t>
            </w:r>
          </w:p>
        </w:tc>
      </w:tr>
      <w:tr w:rsidR="0083408C">
        <w:trPr>
          <w:cantSplit/>
        </w:trPr>
        <w:tc>
          <w:tcPr>
            <w:tcW w:w="1728" w:type="dxa"/>
            <w:shd w:val="clear" w:color="auto" w:fill="F2F4F8"/>
          </w:tcPr>
          <w:p w:rsidR="0083408C" w:rsidRDefault="00000000">
            <w:pPr>
              <w:spacing w:after="0"/>
              <w:jc w:val="left"/>
            </w:pPr>
            <w:r>
              <w:rPr>
                <w:b/>
                <w:sz w:val="15"/>
              </w:rPr>
              <w:t>minimax-m3</w:t>
            </w:r>
          </w:p>
        </w:tc>
        <w:tc>
          <w:tcPr>
            <w:tcW w:w="1728" w:type="dxa"/>
            <w:shd w:val="clear" w:color="auto" w:fill="F2F4F8"/>
          </w:tcPr>
          <w:p w:rsidR="0083408C" w:rsidRDefault="00000000">
            <w:pPr>
              <w:spacing w:after="0"/>
              <w:jc w:val="left"/>
            </w:pPr>
            <w:r>
              <w:rPr>
                <w:sz w:val="15"/>
              </w:rPr>
              <w:t>428 B · 23 B</w:t>
            </w:r>
          </w:p>
        </w:tc>
        <w:tc>
          <w:tcPr>
            <w:tcW w:w="1728" w:type="dxa"/>
            <w:shd w:val="clear" w:color="auto" w:fill="F2F4F8"/>
          </w:tcPr>
          <w:p w:rsidR="0083408C" w:rsidRDefault="00000000">
            <w:pPr>
              <w:spacing w:after="0"/>
              <w:jc w:val="left"/>
            </w:pPr>
            <w:r>
              <w:rPr>
                <w:sz w:val="15"/>
              </w:rPr>
              <w:t>90,0 %</w:t>
            </w:r>
          </w:p>
        </w:tc>
        <w:tc>
          <w:tcPr>
            <w:tcW w:w="1728" w:type="dxa"/>
            <w:shd w:val="clear" w:color="auto" w:fill="F2F4F8"/>
          </w:tcPr>
          <w:p w:rsidR="0083408C" w:rsidRDefault="00000000">
            <w:pPr>
              <w:spacing w:after="0"/>
              <w:jc w:val="left"/>
            </w:pPr>
            <w:r>
              <w:rPr>
                <w:sz w:val="15"/>
              </w:rPr>
              <w:t>78,0 %</w:t>
            </w:r>
          </w:p>
        </w:tc>
        <w:tc>
          <w:tcPr>
            <w:tcW w:w="1728" w:type="dxa"/>
            <w:shd w:val="clear" w:color="auto" w:fill="F2F4F8"/>
          </w:tcPr>
          <w:p w:rsidR="0083408C" w:rsidRDefault="00000000">
            <w:pPr>
              <w:spacing w:after="0"/>
              <w:jc w:val="left"/>
            </w:pPr>
            <w:r>
              <w:rPr>
                <w:sz w:val="15"/>
              </w:rPr>
              <w:t>17,1</w:t>
            </w:r>
          </w:p>
        </w:tc>
        <w:tc>
          <w:tcPr>
            <w:tcW w:w="1728" w:type="dxa"/>
            <w:shd w:val="clear" w:color="auto" w:fill="F2F4F8"/>
          </w:tcPr>
          <w:p w:rsidR="0083408C" w:rsidRDefault="00000000">
            <w:pPr>
              <w:spacing w:after="0"/>
              <w:jc w:val="left"/>
            </w:pPr>
            <w:r>
              <w:rPr>
                <w:sz w:val="15"/>
              </w:rPr>
              <w:t>9.883</w:t>
            </w:r>
          </w:p>
        </w:tc>
      </w:tr>
      <w:tr w:rsidR="0083408C">
        <w:trPr>
          <w:cantSplit/>
        </w:trPr>
        <w:tc>
          <w:tcPr>
            <w:tcW w:w="1728" w:type="dxa"/>
          </w:tcPr>
          <w:p w:rsidR="0083408C" w:rsidRDefault="00000000">
            <w:pPr>
              <w:spacing w:after="0"/>
              <w:jc w:val="left"/>
            </w:pPr>
            <w:r>
              <w:rPr>
                <w:b/>
                <w:sz w:val="15"/>
              </w:rPr>
              <w:t>qwen3.8-max</w:t>
            </w:r>
          </w:p>
        </w:tc>
        <w:tc>
          <w:tcPr>
            <w:tcW w:w="1728" w:type="dxa"/>
          </w:tcPr>
          <w:p w:rsidR="0083408C" w:rsidRDefault="00000000">
            <w:pPr>
              <w:spacing w:after="0"/>
              <w:jc w:val="left"/>
            </w:pPr>
            <w:r>
              <w:rPr>
                <w:sz w:val="15"/>
              </w:rPr>
              <w:t>2,4 T · 95 B</w:t>
            </w:r>
          </w:p>
        </w:tc>
        <w:tc>
          <w:tcPr>
            <w:tcW w:w="1728" w:type="dxa"/>
          </w:tcPr>
          <w:p w:rsidR="0083408C" w:rsidRDefault="00000000">
            <w:pPr>
              <w:spacing w:after="0"/>
              <w:jc w:val="left"/>
            </w:pPr>
            <w:r>
              <w:rPr>
                <w:sz w:val="15"/>
              </w:rPr>
              <w:t>80,0 %</w:t>
            </w:r>
          </w:p>
        </w:tc>
        <w:tc>
          <w:tcPr>
            <w:tcW w:w="1728" w:type="dxa"/>
          </w:tcPr>
          <w:p w:rsidR="0083408C" w:rsidRDefault="00000000">
            <w:pPr>
              <w:spacing w:after="0"/>
              <w:jc w:val="left"/>
            </w:pPr>
            <w:r>
              <w:rPr>
                <w:sz w:val="15"/>
              </w:rPr>
              <w:t>74,0 %</w:t>
            </w:r>
          </w:p>
        </w:tc>
        <w:tc>
          <w:tcPr>
            <w:tcW w:w="1728" w:type="dxa"/>
          </w:tcPr>
          <w:p w:rsidR="0083408C" w:rsidRDefault="00000000">
            <w:pPr>
              <w:spacing w:after="0"/>
              <w:jc w:val="left"/>
            </w:pPr>
            <w:r>
              <w:rPr>
                <w:sz w:val="15"/>
              </w:rPr>
              <w:t>60,5</w:t>
            </w:r>
          </w:p>
        </w:tc>
        <w:tc>
          <w:tcPr>
            <w:tcW w:w="1728" w:type="dxa"/>
          </w:tcPr>
          <w:p w:rsidR="0083408C" w:rsidRDefault="00000000">
            <w:pPr>
              <w:spacing w:after="0"/>
              <w:jc w:val="left"/>
            </w:pPr>
            <w:r>
              <w:rPr>
                <w:sz w:val="15"/>
              </w:rPr>
              <w:t>11.014</w:t>
            </w:r>
          </w:p>
        </w:tc>
      </w:tr>
      <w:tr w:rsidR="0083408C">
        <w:trPr>
          <w:cantSplit/>
        </w:trPr>
        <w:tc>
          <w:tcPr>
            <w:tcW w:w="1728" w:type="dxa"/>
            <w:shd w:val="clear" w:color="auto" w:fill="F2F4F8"/>
          </w:tcPr>
          <w:p w:rsidR="0083408C" w:rsidRDefault="00000000">
            <w:pPr>
              <w:spacing w:after="0"/>
              <w:jc w:val="left"/>
            </w:pPr>
            <w:r>
              <w:rPr>
                <w:b/>
                <w:sz w:val="15"/>
              </w:rPr>
              <w:t>qwen3.7-plus</w:t>
            </w:r>
          </w:p>
        </w:tc>
        <w:tc>
          <w:tcPr>
            <w:tcW w:w="1728" w:type="dxa"/>
            <w:shd w:val="clear" w:color="auto" w:fill="F2F4F8"/>
          </w:tcPr>
          <w:p w:rsidR="0083408C" w:rsidRDefault="00000000">
            <w:pPr>
              <w:spacing w:after="0"/>
              <w:jc w:val="left"/>
            </w:pPr>
            <w:r>
              <w:rPr>
                <w:sz w:val="15"/>
              </w:rPr>
              <w:t>no publicado</w:t>
            </w:r>
          </w:p>
        </w:tc>
        <w:tc>
          <w:tcPr>
            <w:tcW w:w="1728" w:type="dxa"/>
            <w:shd w:val="clear" w:color="auto" w:fill="F2F4F8"/>
          </w:tcPr>
          <w:p w:rsidR="0083408C" w:rsidRDefault="00000000">
            <w:pPr>
              <w:spacing w:after="0"/>
              <w:jc w:val="left"/>
            </w:pPr>
            <w:r>
              <w:rPr>
                <w:sz w:val="15"/>
              </w:rPr>
              <w:t>72,0 %</w:t>
            </w:r>
          </w:p>
        </w:tc>
        <w:tc>
          <w:tcPr>
            <w:tcW w:w="1728" w:type="dxa"/>
            <w:shd w:val="clear" w:color="auto" w:fill="F2F4F8"/>
          </w:tcPr>
          <w:p w:rsidR="0083408C" w:rsidRDefault="00000000">
            <w:pPr>
              <w:spacing w:after="0"/>
              <w:jc w:val="left"/>
            </w:pPr>
            <w:r>
              <w:rPr>
                <w:sz w:val="15"/>
              </w:rPr>
              <w:t>64,0 %</w:t>
            </w:r>
          </w:p>
        </w:tc>
        <w:tc>
          <w:tcPr>
            <w:tcW w:w="1728" w:type="dxa"/>
            <w:shd w:val="clear" w:color="auto" w:fill="F2F4F8"/>
          </w:tcPr>
          <w:p w:rsidR="0083408C" w:rsidRDefault="00000000">
            <w:pPr>
              <w:spacing w:after="0"/>
              <w:jc w:val="left"/>
            </w:pPr>
            <w:r>
              <w:rPr>
                <w:sz w:val="15"/>
              </w:rPr>
              <w:t>28,9</w:t>
            </w:r>
          </w:p>
        </w:tc>
        <w:tc>
          <w:tcPr>
            <w:tcW w:w="1728" w:type="dxa"/>
            <w:shd w:val="clear" w:color="auto" w:fill="F2F4F8"/>
          </w:tcPr>
          <w:p w:rsidR="0083408C" w:rsidRDefault="00000000">
            <w:pPr>
              <w:spacing w:after="0"/>
              <w:jc w:val="left"/>
            </w:pPr>
            <w:r>
              <w:rPr>
                <w:sz w:val="15"/>
              </w:rPr>
              <w:t>9.169</w:t>
            </w:r>
          </w:p>
        </w:tc>
      </w:tr>
    </w:tbl>
    <w:p w:rsidR="0083408C" w:rsidRDefault="00000000">
      <w:pPr>
        <w:spacing w:before="40" w:after="160"/>
        <w:jc w:val="left"/>
      </w:pPr>
      <w:r>
        <w:rPr>
          <w:i/>
          <w:sz w:val="15"/>
        </w:rPr>
        <w:lastRenderedPageBreak/>
        <w:t xml:space="preserve">Todo congelado salvo el modelo: mismo set con golds auditados, temperatura 0, catálogo completo en el prompt, sin RAG, y kimi-k2.6 como modelo de redacción en todas las corridas. Acierto y estricta son los de la MEJOR de las dos corridas —la misma corrida en ambas columnas, no el máximo de cada métrica por separado—, con dos consecuencias que declarar: es un estimador optimista, y los dos modelos que la criba dejó fuera de la segunda etapa tienen una sola corrida, así que no han tenido esa segunda oportunidad. Los tokens son los que mide el propio endpoint (prompt + generación) para el modelo evaluado, sin contar la redacción. El tamaño es el que declara cada proveedor [20]: los seis son mixture-of-experts, así que se dan los parámetros totales y los que se activan por token, que es lo que gobierna el coste de inferencia; Alibaba no publica el de su tier </w:t>
      </w:r>
      <w:r>
        <w:rPr>
          <w:sz w:val="15"/>
        </w:rPr>
        <w:t>plus</w:t>
      </w:r>
      <w:r>
        <w:rPr>
          <w:i/>
          <w:sz w:val="15"/>
        </w:rPr>
        <w:t>. No se estima ningún valor. Artefactos: output/eval/modelo-*.json.</w:t>
      </w:r>
    </w:p>
    <w:p w:rsidR="0083408C" w:rsidRDefault="0083408C">
      <w:pPr>
        <w:sectPr w:rsidR="0083408C">
          <w:type w:val="continuous"/>
          <w:pgSz w:w="12240" w:h="15840"/>
          <w:pgMar w:top="1009" w:right="935" w:bottom="1009" w:left="935" w:header="720" w:footer="720" w:gutter="0"/>
          <w:cols w:space="288"/>
          <w:docGrid w:linePitch="360"/>
        </w:sectPr>
      </w:pPr>
    </w:p>
    <w:p w:rsidR="0083408C" w:rsidRDefault="00000000">
      <w:r>
        <w:t>Encabeza glm-5.3 con 92,0 %, pero el titular no es ese. Con el suelo de ruido en unos 6 puntos, 4 modelos quedan empatados (glm-5.3, kimi-k2.6, kimi-k2.7-code, minimax-m3) y el criterio de desempate no puede ser el acierto. El modelo que estaba en producción, kimi-k2.7-code, llega a 92,0 % e iguala al mejor en la métrica principal, pero es el último de los empatados en la estricta.</w:t>
      </w:r>
    </w:p>
    <w:p w:rsidR="0083408C" w:rsidRDefault="00000000">
      <w:r>
        <w:t>Lo que sí se separa por factores grandes son las otras dos dimensiones: la latencia va de 17,1 s por pregunta (minimax-m3) a 60,5 s (qwen3.8-max) y el consumo, de 9.169 tokens a 14.632, sobre el mismo prompt. Entre modelos empatados en acierto, el desempate razonable es ese: la latencia la nota el usuario en cada consulta y los tokens se pagan en cada consulta.</w:t>
      </w:r>
    </w:p>
    <w:p w:rsidR="0083408C" w:rsidRDefault="00000000">
      <w:r>
        <w:t>El tamaño tampoco explica el orden. El candidato más grande es qwen3.8-max —2,4 T de parámetros y 95 B activos por token— y queda 12,0 puntos por debajo de glm-5.3, que declara 3,2 veces menos parámetros totales y 2,4 veces menos activos. En una tarea acotada como esta —esquema fijo, vocabulario cerrado, consultas de agregación— la capacidad extra no tiene dónde emplearse, y sí se paga en latencia y en tokens.</w:t>
      </w:r>
    </w:p>
    <w:p w:rsidR="0083408C" w:rsidRDefault="00000000">
      <w:r>
        <w:t>Los dos contrastes internos son los que más informan, porque comparan dentro de familia: en Qwen, el tier alto rinde 8,0 puntos más que el barato, por encima del ruido; en Kimi, la variante de código iguala a la generalista en la métrica principal pero queda 2,0 puntos por debajo en la estricta, y tarda 1,7 veces más por pregunta. Apuntan en direcciones opuestas, y esa es la conclusión: pagar el tier alto compra puntos, pero no los suficientes para alcanzar a modelos más baratos de otra familia, y especializar en código no compra ninguno. Decide la familia, no el tier ni la especialización.</w:t>
      </w:r>
    </w:p>
    <w:p w:rsidR="0083408C" w:rsidRDefault="00000000">
      <w:r>
        <w:t>La decisión, entonces, es glm-5.3: gana la métrica estricta por 4,0 puntos sobre kimi-k2.6 y manda hasta un 34 % menos de tokens por pregunta que el resto de los empatados, con una latencia equivalente. Queda escrito en la configuración del rol 'sql'; el modelo heredado (kimi-k2.7-code) sale por lento y por caro, no por impreciso. La ganancia no es de acierto —eso está dentro del ruido— sino de coste y de calidad de la respuesta que ve el usuario, que es lo que mide la estricta.</w:t>
      </w:r>
    </w:p>
    <w:p w:rsidR="0083408C" w:rsidRDefault="00000000">
      <w:r>
        <w:t>El ranking de BIRD sirvió para preseleccionar y la medición propia no lo reproduce —la familia que allí encabeza es la última aquí—, que es exactamente la razón por la que se mide en lugar de heredar la elección.</w:t>
      </w:r>
    </w:p>
    <w:p w:rsidR="0083408C" w:rsidRDefault="00000000">
      <w:pPr>
        <w:pStyle w:val="Heading2"/>
        <w:spacing w:before="160" w:after="40"/>
        <w:jc w:val="left"/>
      </w:pPr>
      <w:r>
        <w:rPr>
          <w:rFonts w:ascii="Times New Roman" w:hAnsi="Times New Roman"/>
          <w:b w:val="0"/>
          <w:i/>
          <w:sz w:val="20"/>
        </w:rPr>
        <w:t>G.  La hipótesis que el esquema ampliado reabre</w:t>
      </w:r>
    </w:p>
    <w:p w:rsidR="0083408C" w:rsidRDefault="00000000">
      <w:r>
        <w:t xml:space="preserve">El argumento con el que se descartó el RAG de esquema era que tres tablas y unas veinticinco columnas relevantes caben de sobra en el prompt, de modo que recuperar </w:t>
      </w:r>
      <w:r>
        <w:rPr>
          <w:i/>
        </w:rPr>
        <w:t>las tablas pertinentes</w:t>
      </w:r>
      <w:r>
        <w:t xml:space="preserve"> solo podía, en el mejor de los casos, no estorbar; y la medición fue consistente con eso. Con doce tablas el argumento se invierte: el catálogo completo pasó de 10.261 a 23.433 caracteres —de unos 2.565 a unos 5.858 tokens— mientras que el bloque base que se envía en modo recuperado se queda en 1.365. La hipótesis, enunciada para que sea falsable, es que sobre el esquema de doce tablas el RAG de catálogo dejará de salir plano y pasará a mejorar la execution accuracy, porque el prompt completo ya introduce ruido y coste que antes no introducía. Está PENDIENTE DE MEDIR sobre el conjunto de 76 preguntas; lo medido sobre 50 sigue sin separar baseline y catálogo. Puede salir refutada, y ese desenlace sería igual de informativo.</w:t>
      </w:r>
    </w:p>
    <w:p w:rsidR="0083408C" w:rsidRDefault="00000000">
      <w:pPr>
        <w:pStyle w:val="Heading2"/>
        <w:spacing w:before="160" w:after="40"/>
        <w:jc w:val="left"/>
      </w:pPr>
      <w:r>
        <w:rPr>
          <w:rFonts w:ascii="Times New Roman" w:hAnsi="Times New Roman"/>
          <w:b w:val="0"/>
          <w:i/>
          <w:sz w:val="20"/>
        </w:rPr>
        <w:t>H.  Comparación con otros autores</w:t>
      </w:r>
    </w:p>
    <w:p w:rsidR="0083408C" w:rsidRDefault="00000000">
      <w:r>
        <w:t xml:space="preserve">La comparación honesta es de ESTRATEGIAS y de dirección de los hallazgos, no de cifras: los trabajos de la sección III-C reportan sobre BIRD —95 bases de datos y más de 10.000 preguntas anotadas por terceros— y aquí se mide sobre una sola base y 50 preguntas escritas por el propio equipo. Un 92 % local no es </w:t>
      </w:r>
      <w:r>
        <w:rPr>
          <w:i/>
        </w:rPr>
        <w:t>mejor</w:t>
      </w:r>
      <w:r>
        <w:t xml:space="preserve"> que el 71 % de CHESS [6]: son bancos distintos, y el de aquí es más fácil en número de bases y más difícil en vocabulario abierto.</w:t>
      </w:r>
    </w:p>
    <w:p w:rsidR="0083408C" w:rsidRDefault="00000000">
      <w:r>
        <w:t>Puesto en esos términos, tres contrastes. Con CHESS [6] se comparte el diagnóstico —el cuello de botella son los valores— y se difiere en el desenlace: allí la recuperación de valores sostiene el resultado, aquí queda refutada en la categoría que debía beneficiarla, y la medición señala por qué, que es la métrica binaria contra un gold enumerado. Con Knowledge-to-SQL [7] la coincidencia es más fuerte de lo que parece: ellos APRENDEN el conocimiento externo que falta y ganan 4,69 puntos; aquí ese mismo conocimiento se escribió a mano como reglas y dimensiones contables y valió unos siete, lo que confirma su premisa —que lo que falta es conocimiento, no capacidad del modelo— por una vía más barata pero que no generaliza a otra empresa. Y con BASE-SQL [9] el acuerdo es directo: una tubería sencilla sobre un modelo abierto es competitiva, que es lo que la sección VI-F vuelve a encontrar cuando cuatro modelos empatan y el que decide es el más barato.</w:t>
      </w:r>
    </w:p>
    <w:p w:rsidR="0083408C" w:rsidRDefault="0083408C">
      <w:pPr>
        <w:sectPr w:rsidR="0083408C">
          <w:type w:val="continuous"/>
          <w:pgSz w:w="12240" w:h="15840"/>
          <w:pgMar w:top="1009" w:right="935" w:bottom="1009" w:left="935" w:header="720" w:footer="720" w:gutter="0"/>
          <w:cols w:num="2" w:space="288"/>
          <w:docGrid w:linePitch="360"/>
        </w:sectPr>
      </w:pPr>
    </w:p>
    <w:p w:rsidR="0083408C" w:rsidRDefault="00000000">
      <w:pPr>
        <w:keepNext/>
        <w:spacing w:before="160" w:after="40"/>
        <w:jc w:val="left"/>
      </w:pPr>
      <w:r>
        <w:rPr>
          <w:b/>
          <w:sz w:val="16"/>
        </w:rPr>
        <w:t>Tabla 15. Qué dan por resuelto los trabajos citados y qué mide este</w:t>
      </w:r>
    </w:p>
    <w:tbl>
      <w:tblPr>
        <w:tblStyle w:val="TableGrid"/>
        <w:tblW w:w="0" w:type="auto"/>
        <w:tblLook w:val="04A0" w:firstRow="1" w:lastRow="0" w:firstColumn="1" w:lastColumn="0" w:noHBand="0" w:noVBand="1"/>
      </w:tblPr>
      <w:tblGrid>
        <w:gridCol w:w="3457"/>
        <w:gridCol w:w="3457"/>
        <w:gridCol w:w="3457"/>
      </w:tblGrid>
      <w:tr w:rsidR="0083408C">
        <w:trPr>
          <w:tblHeader/>
        </w:trPr>
        <w:tc>
          <w:tcPr>
            <w:tcW w:w="3457" w:type="dxa"/>
            <w:shd w:val="clear" w:color="auto" w:fill="1F3864"/>
          </w:tcPr>
          <w:p w:rsidR="0083408C" w:rsidRDefault="00000000">
            <w:pPr>
              <w:spacing w:after="0"/>
              <w:jc w:val="left"/>
            </w:pPr>
            <w:r>
              <w:rPr>
                <w:b/>
                <w:color w:val="FFFFFF"/>
                <w:sz w:val="15"/>
              </w:rPr>
              <w:t>Pieza del problema</w:t>
            </w:r>
          </w:p>
        </w:tc>
        <w:tc>
          <w:tcPr>
            <w:tcW w:w="3457" w:type="dxa"/>
            <w:shd w:val="clear" w:color="auto" w:fill="1F3864"/>
          </w:tcPr>
          <w:p w:rsidR="0083408C" w:rsidRDefault="00000000">
            <w:pPr>
              <w:spacing w:after="0"/>
              <w:jc w:val="left"/>
            </w:pPr>
            <w:r>
              <w:rPr>
                <w:b/>
                <w:color w:val="FFFFFF"/>
                <w:sz w:val="15"/>
              </w:rPr>
              <w:t>En los trabajos citados [5]–[13]</w:t>
            </w:r>
          </w:p>
        </w:tc>
        <w:tc>
          <w:tcPr>
            <w:tcW w:w="3457" w:type="dxa"/>
            <w:shd w:val="clear" w:color="auto" w:fill="1F3864"/>
          </w:tcPr>
          <w:p w:rsidR="0083408C" w:rsidRDefault="00000000">
            <w:pPr>
              <w:spacing w:after="0"/>
              <w:jc w:val="left"/>
            </w:pPr>
            <w:r>
              <w:rPr>
                <w:b/>
                <w:color w:val="FFFFFF"/>
                <w:sz w:val="15"/>
              </w:rPr>
              <w:t>En este trabajo</w:t>
            </w:r>
          </w:p>
        </w:tc>
      </w:tr>
      <w:tr w:rsidR="0083408C">
        <w:trPr>
          <w:cantSplit/>
        </w:trPr>
        <w:tc>
          <w:tcPr>
            <w:tcW w:w="3457" w:type="dxa"/>
          </w:tcPr>
          <w:p w:rsidR="0083408C" w:rsidRDefault="00000000">
            <w:pPr>
              <w:spacing w:after="0"/>
              <w:jc w:val="left"/>
            </w:pPr>
            <w:r>
              <w:rPr>
                <w:b/>
                <w:sz w:val="15"/>
              </w:rPr>
              <w:t>El conocimiento de dominio que la pregunta necesita</w:t>
            </w:r>
          </w:p>
        </w:tc>
        <w:tc>
          <w:tcPr>
            <w:tcW w:w="3457" w:type="dxa"/>
          </w:tcPr>
          <w:p w:rsidR="0083408C" w:rsidRDefault="00000000">
            <w:pPr>
              <w:spacing w:after="0"/>
              <w:jc w:val="left"/>
            </w:pPr>
            <w:r>
              <w:rPr>
                <w:sz w:val="15"/>
              </w:rPr>
              <w:t>Se da por disponible: BIRD lo entrega anotado junto a cada pregunta, y Knowledge-to-SQL lo genera con un modelo entrenado para ello</w:t>
            </w:r>
          </w:p>
        </w:tc>
        <w:tc>
          <w:tcPr>
            <w:tcW w:w="3457" w:type="dxa"/>
          </w:tcPr>
          <w:p w:rsidR="0083408C" w:rsidRDefault="00000000">
            <w:pPr>
              <w:spacing w:after="0"/>
              <w:jc w:val="left"/>
            </w:pPr>
            <w:r>
              <w:rPr>
                <w:sz w:val="15"/>
              </w:rPr>
              <w:t>Hubo que construirlo, y se midió de dónde conviene sacarlo: el estándar público resultó PEOR fuente que el plan de cuentas que la propia empresa declara —norma equivocada, sin las cuentas analíticas de la flota y sin el vocabulario del sector—</w:t>
            </w:r>
          </w:p>
        </w:tc>
      </w:tr>
      <w:tr w:rsidR="0083408C">
        <w:trPr>
          <w:cantSplit/>
        </w:trPr>
        <w:tc>
          <w:tcPr>
            <w:tcW w:w="3457" w:type="dxa"/>
            <w:shd w:val="clear" w:color="auto" w:fill="F2F4F8"/>
          </w:tcPr>
          <w:p w:rsidR="0083408C" w:rsidRDefault="00000000">
            <w:pPr>
              <w:spacing w:after="0"/>
              <w:jc w:val="left"/>
            </w:pPr>
            <w:r>
              <w:rPr>
                <w:b/>
                <w:sz w:val="15"/>
              </w:rPr>
              <w:t>La normalización del texto antes de embeberlo</w:t>
            </w:r>
          </w:p>
        </w:tc>
        <w:tc>
          <w:tcPr>
            <w:tcW w:w="3457" w:type="dxa"/>
            <w:shd w:val="clear" w:color="auto" w:fill="F2F4F8"/>
          </w:tcPr>
          <w:p w:rsidR="0083408C" w:rsidRDefault="00000000">
            <w:pPr>
              <w:spacing w:after="0"/>
              <w:jc w:val="left"/>
            </w:pPr>
            <w:r>
              <w:rPr>
                <w:sz w:val="15"/>
              </w:rPr>
              <w:t>No se reporta: los corpus de los bancos públicos son texto limpio en inglés y la normalización no es una variable del experimento</w:t>
            </w:r>
          </w:p>
        </w:tc>
        <w:tc>
          <w:tcPr>
            <w:tcW w:w="3457" w:type="dxa"/>
            <w:shd w:val="clear" w:color="auto" w:fill="F2F4F8"/>
          </w:tcPr>
          <w:p w:rsidR="0083408C" w:rsidRDefault="00000000">
            <w:pPr>
              <w:spacing w:after="0"/>
              <w:jc w:val="left"/>
            </w:pPr>
            <w:r>
              <w:rPr>
                <w:sz w:val="15"/>
              </w:rPr>
              <w:t>Es el núcleo: glosas en mayúsculas, sin tildes y abreviadas. Se mide que expandir 38 abreviaturas y retirar la envoltura interrogativa SOLO del lado de la consulta cambia lo que se recupera</w:t>
            </w:r>
          </w:p>
        </w:tc>
      </w:tr>
      <w:tr w:rsidR="0083408C">
        <w:trPr>
          <w:cantSplit/>
        </w:trPr>
        <w:tc>
          <w:tcPr>
            <w:tcW w:w="3457" w:type="dxa"/>
          </w:tcPr>
          <w:p w:rsidR="0083408C" w:rsidRDefault="00000000">
            <w:pPr>
              <w:spacing w:after="0"/>
              <w:jc w:val="left"/>
            </w:pPr>
            <w:r>
              <w:rPr>
                <w:b/>
                <w:sz w:val="15"/>
              </w:rPr>
              <w:lastRenderedPageBreak/>
              <w:t>Qué se le pide al modelo con lo recuperado</w:t>
            </w:r>
          </w:p>
        </w:tc>
        <w:tc>
          <w:tcPr>
            <w:tcW w:w="3457" w:type="dxa"/>
          </w:tcPr>
          <w:p w:rsidR="0083408C" w:rsidRDefault="00000000">
            <w:pPr>
              <w:spacing w:after="0"/>
              <w:jc w:val="left"/>
            </w:pPr>
            <w:r>
              <w:rPr>
                <w:sz w:val="15"/>
              </w:rPr>
              <w:t>Se inyecta como contexto y el foco está en recuperar mejor</w:t>
            </w:r>
          </w:p>
        </w:tc>
        <w:tc>
          <w:tcPr>
            <w:tcW w:w="3457" w:type="dxa"/>
          </w:tcPr>
          <w:p w:rsidR="0083408C" w:rsidRDefault="00000000">
            <w:pPr>
              <w:spacing w:after="0"/>
              <w:jc w:val="left"/>
            </w:pPr>
            <w:r>
              <w:rPr>
                <w:sz w:val="15"/>
              </w:rPr>
              <w:t>Se mide que el PAPEL importa más que la calidad: las mismas glosas, como lista de filas a enumerar, degradan el sistema; como muestra de vocabulario del que extraer raíces, no</w:t>
            </w:r>
          </w:p>
        </w:tc>
      </w:tr>
      <w:tr w:rsidR="0083408C">
        <w:trPr>
          <w:cantSplit/>
        </w:trPr>
        <w:tc>
          <w:tcPr>
            <w:tcW w:w="3457" w:type="dxa"/>
            <w:shd w:val="clear" w:color="auto" w:fill="F2F4F8"/>
          </w:tcPr>
          <w:p w:rsidR="0083408C" w:rsidRDefault="00000000">
            <w:pPr>
              <w:spacing w:after="0"/>
              <w:jc w:val="left"/>
            </w:pPr>
            <w:r>
              <w:rPr>
                <w:b/>
                <w:sz w:val="15"/>
              </w:rPr>
              <w:t>La validez del banco de pruebas</w:t>
            </w:r>
          </w:p>
        </w:tc>
        <w:tc>
          <w:tcPr>
            <w:tcW w:w="3457" w:type="dxa"/>
            <w:shd w:val="clear" w:color="auto" w:fill="F2F4F8"/>
          </w:tcPr>
          <w:p w:rsidR="0083408C" w:rsidRDefault="00000000">
            <w:pPr>
              <w:spacing w:after="0"/>
              <w:jc w:val="left"/>
            </w:pPr>
            <w:r>
              <w:rPr>
                <w:sz w:val="15"/>
              </w:rPr>
              <w:t>Se toma como dado; el banco es de terceros y no se audita</w:t>
            </w:r>
          </w:p>
        </w:tc>
        <w:tc>
          <w:tcPr>
            <w:tcW w:w="3457" w:type="dxa"/>
            <w:shd w:val="clear" w:color="auto" w:fill="F2F4F8"/>
          </w:tcPr>
          <w:p w:rsidR="0083408C" w:rsidRDefault="00000000">
            <w:pPr>
              <w:spacing w:after="0"/>
              <w:jc w:val="left"/>
            </w:pPr>
            <w:r>
              <w:rPr>
                <w:sz w:val="15"/>
              </w:rPr>
              <w:t>Se auditó y estaba mal por partida doble: golds escritos en el lenguaje del baseline, y cuatro golds con el mismo error contable que cometía el agente, de modo que el banco premiaba la respuesta equivocada</w:t>
            </w:r>
          </w:p>
        </w:tc>
      </w:tr>
      <w:tr w:rsidR="0083408C">
        <w:trPr>
          <w:cantSplit/>
        </w:trPr>
        <w:tc>
          <w:tcPr>
            <w:tcW w:w="3457" w:type="dxa"/>
          </w:tcPr>
          <w:p w:rsidR="0083408C" w:rsidRDefault="00000000">
            <w:pPr>
              <w:spacing w:after="0"/>
              <w:jc w:val="left"/>
            </w:pPr>
            <w:r>
              <w:rPr>
                <w:b/>
                <w:sz w:val="15"/>
              </w:rPr>
              <w:t>La elección del modelo generador</w:t>
            </w:r>
          </w:p>
        </w:tc>
        <w:tc>
          <w:tcPr>
            <w:tcW w:w="3457" w:type="dxa"/>
          </w:tcPr>
          <w:p w:rsidR="0083408C" w:rsidRDefault="00000000">
            <w:pPr>
              <w:spacing w:after="0"/>
              <w:jc w:val="left"/>
            </w:pPr>
            <w:r>
              <w:rPr>
                <w:sz w:val="15"/>
              </w:rPr>
              <w:t>Se fija uno y se compara el método sobre él</w:t>
            </w:r>
          </w:p>
        </w:tc>
        <w:tc>
          <w:tcPr>
            <w:tcW w:w="3457" w:type="dxa"/>
          </w:tcPr>
          <w:p w:rsidR="0083408C" w:rsidRDefault="00000000">
            <w:pPr>
              <w:spacing w:after="0"/>
              <w:jc w:val="left"/>
            </w:pPr>
            <w:r>
              <w:rPr>
                <w:sz w:val="15"/>
              </w:rPr>
              <w:t>Se mide: seis modelos bajo condiciones idénticas, dos corridas para los finalistas y suelo de ruido declarado, con coste y latencia por pregunta</w:t>
            </w:r>
          </w:p>
        </w:tc>
      </w:tr>
      <w:tr w:rsidR="0083408C">
        <w:trPr>
          <w:cantSplit/>
        </w:trPr>
        <w:tc>
          <w:tcPr>
            <w:tcW w:w="3457" w:type="dxa"/>
            <w:shd w:val="clear" w:color="auto" w:fill="F2F4F8"/>
          </w:tcPr>
          <w:p w:rsidR="0083408C" w:rsidRDefault="00000000">
            <w:pPr>
              <w:spacing w:after="0"/>
              <w:jc w:val="left"/>
            </w:pPr>
            <w:r>
              <w:rPr>
                <w:b/>
                <w:sz w:val="15"/>
              </w:rPr>
              <w:t>El recorrido de punta a punta</w:t>
            </w:r>
          </w:p>
        </w:tc>
        <w:tc>
          <w:tcPr>
            <w:tcW w:w="3457" w:type="dxa"/>
            <w:shd w:val="clear" w:color="auto" w:fill="F2F4F8"/>
          </w:tcPr>
          <w:p w:rsidR="0083408C" w:rsidRDefault="00000000">
            <w:pPr>
              <w:spacing w:after="0"/>
              <w:jc w:val="left"/>
            </w:pPr>
            <w:r>
              <w:rPr>
                <w:sz w:val="15"/>
              </w:rPr>
              <w:t>Se parte de bases ya cargadas y limpias</w:t>
            </w:r>
          </w:p>
        </w:tc>
        <w:tc>
          <w:tcPr>
            <w:tcW w:w="3457" w:type="dxa"/>
            <w:shd w:val="clear" w:color="auto" w:fill="F2F4F8"/>
          </w:tcPr>
          <w:p w:rsidR="0083408C" w:rsidRDefault="00000000">
            <w:pPr>
              <w:spacing w:after="0"/>
              <w:jc w:val="left"/>
            </w:pPr>
            <w:r>
              <w:rPr>
                <w:sz w:val="15"/>
              </w:rPr>
              <w:t>Incluye la ingesta de los archivos tributarios reales, idempotente e incremental, y la garantía de solo lectura por análisis sintáctico</w:t>
            </w:r>
          </w:p>
        </w:tc>
      </w:tr>
    </w:tbl>
    <w:p w:rsidR="0083408C" w:rsidRDefault="00000000">
      <w:pPr>
        <w:spacing w:before="40" w:after="160"/>
        <w:jc w:val="left"/>
      </w:pPr>
      <w:r>
        <w:rPr>
          <w:i/>
          <w:sz w:val="15"/>
        </w:rPr>
        <w:t>No es una comparación de rendimiento —los bancos son distintos— sino de cobertura: qué parte del problema trata cada trabajo como variable y qué parte da por resuelta.</w:t>
      </w:r>
    </w:p>
    <w:p w:rsidR="0083408C" w:rsidRDefault="0083408C">
      <w:pPr>
        <w:sectPr w:rsidR="0083408C">
          <w:type w:val="continuous"/>
          <w:pgSz w:w="12240" w:h="15840"/>
          <w:pgMar w:top="1009" w:right="935" w:bottom="1009" w:left="935" w:header="720" w:footer="720" w:gutter="0"/>
          <w:cols w:space="288"/>
          <w:docGrid w:linePitch="360"/>
        </w:sectPr>
      </w:pPr>
    </w:p>
    <w:p w:rsidR="0083408C" w:rsidRDefault="00000000">
      <w:r>
        <w:t>El resumen es que los nueve parten de un banco anotado, con el conocimiento externo servido y el texto ya limpio, y optimizan la tubería que va de ahí al SQL. Aquí no existía nada de eso, y las tres piezas que hubo que construir pesaron más que la tubería: siete puntos del modelado contable frente a cero del recuperador semántico.</w:t>
      </w:r>
    </w:p>
    <w:p w:rsidR="0083408C" w:rsidRDefault="00000000">
      <w:r>
        <w:t xml:space="preserve">Queda un desacuerdo aparente que en realidad es de escala. Schema-First Retrieval [10] muestra que indexar el catálogo reduce los errores de ejecución de 15,6 % a 6,2 %, mientras que aquí el RAG de catálogo sale plano. No se contradicen: ellos trabajan sobre almacenes de miles de tablas y aquí hay doce, donde el catálogo entero todavía cabe en el prompt. Su </w:t>
      </w:r>
      <w:r>
        <w:t>resultado es, de hecho, el mejor argumento externo a favor de la hipótesis que la sección VI-G deja abierta.</w:t>
      </w:r>
    </w:p>
    <w:p w:rsidR="0083408C" w:rsidRDefault="00000000">
      <w:pPr>
        <w:pStyle w:val="Heading1"/>
        <w:spacing w:before="200" w:after="80"/>
        <w:jc w:val="center"/>
      </w:pPr>
      <w:r>
        <w:rPr>
          <w:rFonts w:ascii="Times New Roman" w:hAnsi="Times New Roman"/>
          <w:smallCaps/>
          <w:sz w:val="20"/>
        </w:rPr>
        <w:t>VII.  Conclusiones</w:t>
      </w:r>
    </w:p>
    <w:p w:rsidR="0083408C" w:rsidRDefault="00000000">
      <w:pPr>
        <w:pStyle w:val="Heading2"/>
        <w:spacing w:before="160" w:after="40"/>
        <w:jc w:val="left"/>
      </w:pPr>
      <w:r>
        <w:rPr>
          <w:rFonts w:ascii="Times New Roman" w:hAnsi="Times New Roman"/>
          <w:b w:val="0"/>
          <w:i/>
          <w:sz w:val="20"/>
        </w:rPr>
        <w:t>A.  ¿Se resolvió el problema planteado?</w:t>
      </w:r>
    </w:p>
    <w:p w:rsidR="0083408C" w:rsidRDefault="00000000">
      <w:r>
        <w:t>Sí como sistema y no como hipótesis, y las dos cosas se pueden decir con cifras. El agente responde 46 de las 50 preguntas del conjunto de validación. El componente sobre el que giraba el proyecto —recuperar por significado el vocabulario de las glosas— aporta cero.</w:t>
      </w:r>
    </w:p>
    <w:p w:rsidR="0083408C" w:rsidRDefault="0083408C">
      <w:pPr>
        <w:sectPr w:rsidR="0083408C">
          <w:type w:val="continuous"/>
          <w:pgSz w:w="12240" w:h="15840"/>
          <w:pgMar w:top="1009" w:right="935" w:bottom="1009" w:left="935" w:header="720" w:footer="720" w:gutter="0"/>
          <w:cols w:num="2" w:space="288"/>
          <w:docGrid w:linePitch="360"/>
        </w:sectPr>
      </w:pPr>
    </w:p>
    <w:p w:rsidR="0083408C" w:rsidRDefault="00000000">
      <w:pPr>
        <w:keepNext/>
        <w:spacing w:before="160" w:after="40"/>
        <w:jc w:val="left"/>
      </w:pPr>
      <w:r>
        <w:rPr>
          <w:b/>
          <w:sz w:val="16"/>
        </w:rPr>
        <w:t>Tabla 16. Qué se prometió, qué se consiguió y con qué evidencia</w:t>
      </w:r>
    </w:p>
    <w:tbl>
      <w:tblPr>
        <w:tblStyle w:val="TableGrid"/>
        <w:tblW w:w="0" w:type="auto"/>
        <w:tblLook w:val="04A0" w:firstRow="1" w:lastRow="0" w:firstColumn="1" w:lastColumn="0" w:noHBand="0" w:noVBand="1"/>
      </w:tblPr>
      <w:tblGrid>
        <w:gridCol w:w="3457"/>
        <w:gridCol w:w="3457"/>
        <w:gridCol w:w="3457"/>
      </w:tblGrid>
      <w:tr w:rsidR="0083408C">
        <w:trPr>
          <w:tblHeader/>
        </w:trPr>
        <w:tc>
          <w:tcPr>
            <w:tcW w:w="3457" w:type="dxa"/>
            <w:shd w:val="clear" w:color="auto" w:fill="1F3864"/>
          </w:tcPr>
          <w:p w:rsidR="0083408C" w:rsidRDefault="00000000">
            <w:pPr>
              <w:spacing w:after="0"/>
              <w:jc w:val="left"/>
            </w:pPr>
            <w:r>
              <w:rPr>
                <w:b/>
                <w:color w:val="FFFFFF"/>
                <w:sz w:val="15"/>
              </w:rPr>
              <w:t>Lo que se prometió</w:t>
            </w:r>
          </w:p>
        </w:tc>
        <w:tc>
          <w:tcPr>
            <w:tcW w:w="3457" w:type="dxa"/>
            <w:shd w:val="clear" w:color="auto" w:fill="1F3864"/>
          </w:tcPr>
          <w:p w:rsidR="0083408C" w:rsidRDefault="00000000">
            <w:pPr>
              <w:spacing w:after="0"/>
              <w:jc w:val="left"/>
            </w:pPr>
            <w:r>
              <w:rPr>
                <w:b/>
                <w:color w:val="FFFFFF"/>
                <w:sz w:val="15"/>
              </w:rPr>
              <w:t>Veredicto</w:t>
            </w:r>
          </w:p>
        </w:tc>
        <w:tc>
          <w:tcPr>
            <w:tcW w:w="3457" w:type="dxa"/>
            <w:shd w:val="clear" w:color="auto" w:fill="1F3864"/>
          </w:tcPr>
          <w:p w:rsidR="0083408C" w:rsidRDefault="00000000">
            <w:pPr>
              <w:spacing w:after="0"/>
              <w:jc w:val="left"/>
            </w:pPr>
            <w:r>
              <w:rPr>
                <w:b/>
                <w:color w:val="FFFFFF"/>
                <w:sz w:val="15"/>
              </w:rPr>
              <w:t>Evidencia</w:t>
            </w:r>
          </w:p>
        </w:tc>
      </w:tr>
      <w:tr w:rsidR="0083408C">
        <w:trPr>
          <w:cantSplit/>
        </w:trPr>
        <w:tc>
          <w:tcPr>
            <w:tcW w:w="3457" w:type="dxa"/>
          </w:tcPr>
          <w:p w:rsidR="0083408C" w:rsidRDefault="00000000">
            <w:pPr>
              <w:spacing w:after="0"/>
              <w:jc w:val="left"/>
            </w:pPr>
            <w:r>
              <w:rPr>
                <w:b/>
                <w:sz w:val="15"/>
              </w:rPr>
              <w:t>Un agente que responda preguntas en español generando SQL válido y ejecutable</w:t>
            </w:r>
          </w:p>
        </w:tc>
        <w:tc>
          <w:tcPr>
            <w:tcW w:w="3457" w:type="dxa"/>
          </w:tcPr>
          <w:p w:rsidR="0083408C" w:rsidRDefault="00000000">
            <w:pPr>
              <w:spacing w:after="0"/>
              <w:jc w:val="left"/>
            </w:pPr>
            <w:r>
              <w:rPr>
                <w:sz w:val="15"/>
              </w:rPr>
              <w:t>Sí</w:t>
            </w:r>
          </w:p>
        </w:tc>
        <w:tc>
          <w:tcPr>
            <w:tcW w:w="3457" w:type="dxa"/>
          </w:tcPr>
          <w:p w:rsidR="0083408C" w:rsidRDefault="00000000">
            <w:pPr>
              <w:spacing w:after="0"/>
              <w:jc w:val="left"/>
            </w:pPr>
            <w:r>
              <w:rPr>
                <w:sz w:val="15"/>
              </w:rPr>
              <w:t>46 de 50 preguntas, a 23,4 s y 9.618 tokens por pregunta</w:t>
            </w:r>
          </w:p>
        </w:tc>
      </w:tr>
      <w:tr w:rsidR="0083408C">
        <w:trPr>
          <w:cantSplit/>
        </w:trPr>
        <w:tc>
          <w:tcPr>
            <w:tcW w:w="3457" w:type="dxa"/>
            <w:shd w:val="clear" w:color="auto" w:fill="F2F4F8"/>
          </w:tcPr>
          <w:p w:rsidR="0083408C" w:rsidRDefault="00000000">
            <w:pPr>
              <w:spacing w:after="0"/>
              <w:jc w:val="left"/>
            </w:pPr>
            <w:r>
              <w:rPr>
                <w:b/>
                <w:sz w:val="15"/>
              </w:rPr>
              <w:t>Que solo pueda leer</w:t>
            </w:r>
          </w:p>
        </w:tc>
        <w:tc>
          <w:tcPr>
            <w:tcW w:w="3457" w:type="dxa"/>
            <w:shd w:val="clear" w:color="auto" w:fill="F2F4F8"/>
          </w:tcPr>
          <w:p w:rsidR="0083408C" w:rsidRDefault="00000000">
            <w:pPr>
              <w:spacing w:after="0"/>
              <w:jc w:val="left"/>
            </w:pPr>
            <w:r>
              <w:rPr>
                <w:sz w:val="15"/>
              </w:rPr>
              <w:t>Sí</w:t>
            </w:r>
          </w:p>
        </w:tc>
        <w:tc>
          <w:tcPr>
            <w:tcW w:w="3457" w:type="dxa"/>
            <w:shd w:val="clear" w:color="auto" w:fill="F2F4F8"/>
          </w:tcPr>
          <w:p w:rsidR="0083408C" w:rsidRDefault="00000000">
            <w:pPr>
              <w:spacing w:after="0"/>
              <w:jc w:val="left"/>
            </w:pPr>
            <w:r>
              <w:rPr>
                <w:sz w:val="15"/>
              </w:rPr>
              <w:t>Lo garantiza el análisis sintáctico del árbol, no una instrucción en el prompt; 163 tests, buena parte sobre el validador</w:t>
            </w:r>
          </w:p>
        </w:tc>
      </w:tr>
      <w:tr w:rsidR="0083408C">
        <w:trPr>
          <w:cantSplit/>
        </w:trPr>
        <w:tc>
          <w:tcPr>
            <w:tcW w:w="3457" w:type="dxa"/>
          </w:tcPr>
          <w:p w:rsidR="0083408C" w:rsidRDefault="00000000">
            <w:pPr>
              <w:spacing w:after="0"/>
              <w:jc w:val="left"/>
            </w:pPr>
            <w:r>
              <w:rPr>
                <w:b/>
                <w:sz w:val="15"/>
              </w:rPr>
              <w:t>Determinar qué aporta la recuperación aumentada</w:t>
            </w:r>
          </w:p>
        </w:tc>
        <w:tc>
          <w:tcPr>
            <w:tcW w:w="3457" w:type="dxa"/>
          </w:tcPr>
          <w:p w:rsidR="0083408C" w:rsidRDefault="00000000">
            <w:pPr>
              <w:spacing w:after="0"/>
              <w:jc w:val="left"/>
            </w:pPr>
            <w:r>
              <w:rPr>
                <w:sz w:val="15"/>
              </w:rPr>
              <w:t>Sí, con resultado adverso</w:t>
            </w:r>
          </w:p>
        </w:tc>
        <w:tc>
          <w:tcPr>
            <w:tcW w:w="3457" w:type="dxa"/>
          </w:tcPr>
          <w:p w:rsidR="0083408C" w:rsidRDefault="00000000">
            <w:pPr>
              <w:spacing w:after="0"/>
              <w:jc w:val="left"/>
            </w:pPr>
            <w:r>
              <w:rPr>
                <w:sz w:val="15"/>
              </w:rPr>
              <w:t>0/8 en las preguntas diseñadas para que solo la búsqueda semántica pudiera acertar; la categoría glosa clásica cae de 4/7 a 2/7</w:t>
            </w:r>
          </w:p>
        </w:tc>
      </w:tr>
      <w:tr w:rsidR="0083408C">
        <w:trPr>
          <w:cantSplit/>
        </w:trPr>
        <w:tc>
          <w:tcPr>
            <w:tcW w:w="3457" w:type="dxa"/>
            <w:shd w:val="clear" w:color="auto" w:fill="F2F4F8"/>
          </w:tcPr>
          <w:p w:rsidR="0083408C" w:rsidRDefault="00000000">
            <w:pPr>
              <w:spacing w:after="0"/>
              <w:jc w:val="left"/>
            </w:pPr>
            <w:r>
              <w:rPr>
                <w:b/>
                <w:sz w:val="15"/>
              </w:rPr>
              <w:t>Cerrar la distancia léxica entre la pregunta y la glosa</w:t>
            </w:r>
          </w:p>
        </w:tc>
        <w:tc>
          <w:tcPr>
            <w:tcW w:w="3457" w:type="dxa"/>
            <w:shd w:val="clear" w:color="auto" w:fill="F2F4F8"/>
          </w:tcPr>
          <w:p w:rsidR="0083408C" w:rsidRDefault="00000000">
            <w:pPr>
              <w:spacing w:after="0"/>
              <w:jc w:val="left"/>
            </w:pPr>
            <w:r>
              <w:rPr>
                <w:sz w:val="15"/>
              </w:rPr>
              <w:t>A medias</w:t>
            </w:r>
          </w:p>
        </w:tc>
        <w:tc>
          <w:tcPr>
            <w:tcW w:w="3457" w:type="dxa"/>
            <w:shd w:val="clear" w:color="auto" w:fill="F2F4F8"/>
          </w:tcPr>
          <w:p w:rsidR="0083408C" w:rsidRDefault="00000000">
            <w:pPr>
              <w:spacing w:after="0"/>
              <w:jc w:val="left"/>
            </w:pPr>
            <w:r>
              <w:rPr>
                <w:sz w:val="15"/>
              </w:rPr>
              <w:t>Se demuestra que cambia lo que se recupera —retirar la envoltura interrogativa cambia el top-3 entero— pero eso no se traduce en aciertos</w:t>
            </w:r>
          </w:p>
        </w:tc>
      </w:tr>
      <w:tr w:rsidR="0083408C">
        <w:trPr>
          <w:cantSplit/>
        </w:trPr>
        <w:tc>
          <w:tcPr>
            <w:tcW w:w="3457" w:type="dxa"/>
          </w:tcPr>
          <w:p w:rsidR="0083408C" w:rsidRDefault="00000000">
            <w:pPr>
              <w:spacing w:after="0"/>
              <w:jc w:val="left"/>
            </w:pPr>
            <w:r>
              <w:rPr>
                <w:b/>
                <w:sz w:val="15"/>
              </w:rPr>
              <w:t>Un diccionario del plan contable verificado contra los datos</w:t>
            </w:r>
          </w:p>
        </w:tc>
        <w:tc>
          <w:tcPr>
            <w:tcW w:w="3457" w:type="dxa"/>
          </w:tcPr>
          <w:p w:rsidR="0083408C" w:rsidRDefault="00000000">
            <w:pPr>
              <w:spacing w:after="0"/>
              <w:jc w:val="left"/>
            </w:pPr>
            <w:r>
              <w:rPr>
                <w:sz w:val="15"/>
              </w:rPr>
              <w:t>Sí</w:t>
            </w:r>
          </w:p>
        </w:tc>
        <w:tc>
          <w:tcPr>
            <w:tcW w:w="3457" w:type="dxa"/>
          </w:tcPr>
          <w:p w:rsidR="0083408C" w:rsidRDefault="00000000">
            <w:pPr>
              <w:spacing w:after="0"/>
              <w:jc w:val="left"/>
            </w:pPr>
            <w:r>
              <w:rPr>
                <w:sz w:val="15"/>
              </w:rPr>
              <w:t>247 fichas. El estándar público mandaba a la cuenta 681, que tiene CERO asientos en esta empresa, en vez de a la 684, que tiene 354</w:t>
            </w:r>
          </w:p>
        </w:tc>
      </w:tr>
      <w:tr w:rsidR="0083408C">
        <w:trPr>
          <w:cantSplit/>
        </w:trPr>
        <w:tc>
          <w:tcPr>
            <w:tcW w:w="3457" w:type="dxa"/>
            <w:shd w:val="clear" w:color="auto" w:fill="F2F4F8"/>
          </w:tcPr>
          <w:p w:rsidR="0083408C" w:rsidRDefault="00000000">
            <w:pPr>
              <w:spacing w:after="0"/>
              <w:jc w:val="left"/>
            </w:pPr>
            <w:r>
              <w:rPr>
                <w:b/>
                <w:sz w:val="15"/>
              </w:rPr>
              <w:t>Elegir el modelo generador con medición propia</w:t>
            </w:r>
          </w:p>
        </w:tc>
        <w:tc>
          <w:tcPr>
            <w:tcW w:w="3457" w:type="dxa"/>
            <w:shd w:val="clear" w:color="auto" w:fill="F2F4F8"/>
          </w:tcPr>
          <w:p w:rsidR="0083408C" w:rsidRDefault="00000000">
            <w:pPr>
              <w:spacing w:after="0"/>
              <w:jc w:val="left"/>
            </w:pPr>
            <w:r>
              <w:rPr>
                <w:sz w:val="15"/>
              </w:rPr>
              <w:t>Sí</w:t>
            </w:r>
          </w:p>
        </w:tc>
        <w:tc>
          <w:tcPr>
            <w:tcW w:w="3457" w:type="dxa"/>
            <w:shd w:val="clear" w:color="auto" w:fill="F2F4F8"/>
          </w:tcPr>
          <w:p w:rsidR="0083408C" w:rsidRDefault="00000000">
            <w:pPr>
              <w:spacing w:after="0"/>
              <w:jc w:val="left"/>
            </w:pPr>
            <w:r>
              <w:rPr>
                <w:sz w:val="15"/>
              </w:rPr>
              <w:t>6 modelos y 10 corridas bajo condiciones idénticas: 20 puntos entre el mejor y el peor, y el elegido no es el que predecía el ranking público</w:t>
            </w:r>
          </w:p>
        </w:tc>
      </w:tr>
      <w:tr w:rsidR="0083408C">
        <w:trPr>
          <w:cantSplit/>
        </w:trPr>
        <w:tc>
          <w:tcPr>
            <w:tcW w:w="3457" w:type="dxa"/>
          </w:tcPr>
          <w:p w:rsidR="0083408C" w:rsidRDefault="00000000">
            <w:pPr>
              <w:spacing w:after="0"/>
              <w:jc w:val="left"/>
            </w:pPr>
            <w:r>
              <w:rPr>
                <w:b/>
                <w:sz w:val="15"/>
              </w:rPr>
              <w:t>Un instrumento de evaluación válido</w:t>
            </w:r>
          </w:p>
        </w:tc>
        <w:tc>
          <w:tcPr>
            <w:tcW w:w="3457" w:type="dxa"/>
          </w:tcPr>
          <w:p w:rsidR="0083408C" w:rsidRDefault="00000000">
            <w:pPr>
              <w:spacing w:after="0"/>
              <w:jc w:val="left"/>
            </w:pPr>
            <w:r>
              <w:rPr>
                <w:sz w:val="15"/>
              </w:rPr>
              <w:t>No</w:t>
            </w:r>
          </w:p>
        </w:tc>
        <w:tc>
          <w:tcPr>
            <w:tcW w:w="3457" w:type="dxa"/>
          </w:tcPr>
          <w:p w:rsidR="0083408C" w:rsidRDefault="00000000">
            <w:pPr>
              <w:spacing w:after="0"/>
              <w:jc w:val="left"/>
            </w:pPr>
            <w:r>
              <w:rPr>
                <w:sz w:val="15"/>
              </w:rPr>
              <w:t>El set original premiaba al baseline por construcción; el rediseñado es inalcanzable, 0/8 en las cuatro configuraciones. Sigue sin medir la categoría glosa</w:t>
            </w:r>
          </w:p>
        </w:tc>
      </w:tr>
    </w:tbl>
    <w:p w:rsidR="0083408C" w:rsidRDefault="00000000">
      <w:pPr>
        <w:spacing w:before="40" w:after="160"/>
        <w:jc w:val="left"/>
      </w:pPr>
      <w:r>
        <w:rPr>
          <w:i/>
          <w:sz w:val="15"/>
        </w:rPr>
        <w:t>Las cifras salen de output/eval/*.json. El acierto de la primera fila es el de la mejor corrida con el modelo elegido; la de coste y latencia, la media por pregunta de esa campaña.</w:t>
      </w:r>
    </w:p>
    <w:p w:rsidR="0083408C" w:rsidRDefault="0083408C">
      <w:pPr>
        <w:sectPr w:rsidR="0083408C">
          <w:type w:val="continuous"/>
          <w:pgSz w:w="12240" w:h="15840"/>
          <w:pgMar w:top="1009" w:right="935" w:bottom="1009" w:left="935" w:header="720" w:footer="720" w:gutter="0"/>
          <w:cols w:space="288"/>
          <w:docGrid w:linePitch="360"/>
        </w:sectPr>
      </w:pPr>
    </w:p>
    <w:p w:rsidR="0083408C" w:rsidRDefault="00000000">
      <w:pPr>
        <w:pStyle w:val="Heading2"/>
        <w:spacing w:before="160" w:after="40"/>
        <w:jc w:val="left"/>
      </w:pPr>
      <w:r>
        <w:rPr>
          <w:rFonts w:ascii="Times New Roman" w:hAnsi="Times New Roman"/>
          <w:b w:val="0"/>
          <w:i/>
          <w:sz w:val="20"/>
        </w:rPr>
        <w:t>B.  ¿Tiene impacto en el negocio?</w:t>
      </w:r>
    </w:p>
    <w:p w:rsidR="0083408C" w:rsidRDefault="00000000">
      <w:r>
        <w:t>La pregunta operativa no es si el sistema acierta, sino si sustituye al circuito que hoy existe: el gerente pregunta, un contador traduce y alguien escribe el SQL. Medido sobre el modelo elegido, una consulta cuesta 8.560 tokens de prompt y 1.058 de generación, y se responde en 18,8 segundos de mediana. A los precios de lista publicados para esa familia de modelos son unos 0,0024 dólares por pregunta: 2,35 dólares por cada mil consultas. El coste del sistema, por tanto, no es un factor de decisión frente al coste de la interrupción humana que sustituye —lo que sí conviene decir es que ese circuito humano no se cronometró, de modo que la comparación es de orden de magnitud y no una medición—.</w:t>
      </w:r>
    </w:p>
    <w:p w:rsidR="0083408C" w:rsidRDefault="00000000">
      <w:r>
        <w:t>Lo que sí condiciona el despliegue es OTRA cosa, y es el hallazgo más importante para el negocio: los fallos del sistema son SILENCIOSOS. No devuelve un error, devuelve un número plausible. Las ambigüedades del esquema ampliado producen diferencias del 2 % entre dos tablas de compras, o multiplican un importe por 42 en un JOIN mal elegido, sin ningún síntoma visible. Con categorías que rinden a pleno acierto —agregación, temporal y tributario— y una que está en 4 de 15, la conclusión de negocio es que el sistema es usable como ASISTENTE de consulta, con la respuesta acompañada del SQL para que un humano pueda auditarla, y no como fuente autónoma de cifras para decidir. Esa es también la razón por la que la interfaz devuelve siempre el SQL ejecutado.</w:t>
      </w:r>
    </w:p>
    <w:p w:rsidR="0083408C" w:rsidRDefault="00000000">
      <w:pPr>
        <w:pStyle w:val="Heading2"/>
        <w:spacing w:before="160" w:after="40"/>
        <w:jc w:val="left"/>
      </w:pPr>
      <w:r>
        <w:rPr>
          <w:rFonts w:ascii="Times New Roman" w:hAnsi="Times New Roman"/>
          <w:b w:val="0"/>
          <w:i/>
          <w:sz w:val="20"/>
        </w:rPr>
        <w:lastRenderedPageBreak/>
        <w:t>C.  ¿Es mejor que lo publicado?</w:t>
      </w:r>
    </w:p>
    <w:p w:rsidR="0083408C" w:rsidRDefault="00000000">
      <w:r>
        <w:t>Hay que contestar en tres ejes, porque en uno solo la respuesta sería tramposa. En ACIERTO no es comparable: los nueve trabajos de la sección III-C miden sobre bancos públicos de decenas de bases de datos y aquí se mide sobre una sola base y 50 preguntas propias, así que el 92 % de este informe y el 71,10 % de CHESS no están en la misma escala y ninguna de las dos cifras gana a la otra. En COBERTURA del problema sí aporta algo que las nueve no reportan, y es lo que recoge la Tabla 15: de dónde sacar el conocimiento de dominio cuando nadie lo ha anotado, qué normalización necesita un texto corto y abreviado, y qué papel debe tener lo recuperado en la generación. Y en COSTE de puesta en marcha sí es mejor de forma medible: cuatro de los nueve exigen entrenar un modelo y Agentar-Scale-SQL, el que encabeza BIRD, admite en su propio artículo que su latencia lo hace inadecuado para tiempo real; este sistema corre sobre un modelo abierto de estantería, sin entrenar nada, a 0,0024 dólares y menos de veinte segundos por consulta.</w:t>
      </w:r>
    </w:p>
    <w:p w:rsidR="0083408C" w:rsidRDefault="00000000">
      <w:r>
        <w:t>La respuesta honesta, por tanto, es que no es mejor en la métrica en la que ellos compiten, y no se ha demostrado que lo sea; es mejor en el eje que decide si una empresa de este tamaño puede tener el sistema en marcha.</w:t>
      </w:r>
    </w:p>
    <w:p w:rsidR="0083408C" w:rsidRDefault="00000000">
      <w:r>
        <w:t>Lo que de verdad movió la precisión no estaba en la hipótesis. Auditar los golds y modelar en columnas las dimensiones contables que estaban implícitas en el código de cuenta valió unos 7 puntos, de 82,0 % a 89,0 %. Fijar el muestreo determinista valió 4,2 puntos más, y es una línea de configuración. El RAG de glosas, que era el objeto del trabajo, valió 0. Dicho de otra manera: en este problema el trabajo rentable estuvo en entender los datos y en medir bien, no en el componente de recuperación.</w:t>
      </w:r>
    </w:p>
    <w:p w:rsidR="0083408C" w:rsidRDefault="00000000">
      <w:pPr>
        <w:pStyle w:val="Heading2"/>
        <w:spacing w:before="160" w:after="40"/>
        <w:jc w:val="left"/>
      </w:pPr>
      <w:r>
        <w:rPr>
          <w:rFonts w:ascii="Times New Roman" w:hAnsi="Times New Roman"/>
          <w:b w:val="0"/>
          <w:i/>
          <w:sz w:val="20"/>
        </w:rPr>
        <w:t>D.  Conclusiones</w:t>
      </w:r>
    </w:p>
    <w:p w:rsidR="0083408C" w:rsidRDefault="00000000">
      <w:r>
        <w:t>Los veredictos están en la sección VII-A y la comparación con la literatura en la VI-H. Quedan tres conclusiones que no se siguen de ninguna de las dos y que son las transferibles a otro proyecto:</w:t>
      </w:r>
    </w:p>
    <w:p w:rsidR="0083408C" w:rsidRDefault="00000000">
      <w:pPr>
        <w:pStyle w:val="ListNumber"/>
      </w:pPr>
      <w:r>
        <w:t>El instrumento de medida es parte del objeto de estudio. Aquí falló dos veces por motivos opuestos —un set cuyos golds estaban escritos en el lenguaje de la solución que se quería superar, y un set rediseñado que no acierta nadie— y, sobre todo, cuatro golds compartían el error contable del agente, de modo que el banco premiaba la respuesta equivocada. Antes de creerse una medición hay que auditar contra qué se mide.</w:t>
      </w:r>
    </w:p>
    <w:p w:rsidR="0083408C" w:rsidRDefault="00000000">
      <w:pPr>
        <w:pStyle w:val="ListNumber"/>
      </w:pPr>
      <w:r>
        <w:t>El papel de lo recuperado pesa más que su calidad. La misma recuperación, inyectada como lista de filas a enumerar, degrada el sistema; inyectada como muestra de vocabulario de la que extraer raíces, no. El error no estaba en qué se recuperaba sino en qué se le pedía hacer con ello.</w:t>
      </w:r>
    </w:p>
    <w:p w:rsidR="0083408C" w:rsidRDefault="00000000">
      <w:pPr>
        <w:pStyle w:val="ListNumber"/>
      </w:pPr>
      <w:r>
        <w:t xml:space="preserve">Para conceptos difusos que viven en texto libre, la execution accuracy binaria contra un gold enumerado no es la métrica adecuada: trata igual un error del 30 % y uno de un factor mil, y con ello esconde que el retrieval sí acota el vocabulario a la vecindad del concepto aunque no acierte el conjunto exacto. Hacen falta precisión y recall </w:t>
      </w:r>
      <w:r>
        <w:t>sobre las filas recuperadas, o un gold con tolerancia declarada.</w:t>
      </w:r>
    </w:p>
    <w:p w:rsidR="0083408C" w:rsidRDefault="00000000">
      <w:r>
        <w:t>Y una lección de oficio que el proyecto deja clara: en un sistema de este tipo el trabajo de procesamiento de lenguaje natural no está donde uno lo espera. No está en generar SQL, que los modelos actuales hacen bien y parecido entre sí, ni en el índice vectorial, que es infraestructura conocida. Está en la distancia entre cómo pregunta una persona y cómo escribe un contador.</w:t>
      </w:r>
    </w:p>
    <w:p w:rsidR="0083408C" w:rsidRDefault="00000000">
      <w:pPr>
        <w:pStyle w:val="Heading2"/>
        <w:spacing w:before="160" w:after="40"/>
        <w:jc w:val="left"/>
      </w:pPr>
      <w:r>
        <w:rPr>
          <w:rFonts w:ascii="Times New Roman" w:hAnsi="Times New Roman"/>
          <w:b w:val="0"/>
          <w:i/>
          <w:sz w:val="20"/>
        </w:rPr>
        <w:t>E.  Limitaciones</w:t>
      </w:r>
    </w:p>
    <w:p w:rsidR="0083408C" w:rsidRDefault="00000000">
      <w:r>
        <w:t>Las cifras de este informe se sostienen sobre una base estrecha, y conviene decir cuánto antes de generalizarlas. La primera limitación es de DATOS: una sola empresa, un solo sector —pesca y acuicultura— y 42 períodos. El vocabulario de las glosas, el plan de cuentas y hasta las trampas del esquema son de esta empresa: el diccionario del PCGE se verificó contra SUS 3.395 cuentas, así que el hallazgo de que el estándar público es peor fuente que el dato de la empresa vale como advertencia general, pero la solución concreta no se traslada a otra sin rehacerla. Y la base arrastró durante toda la campaña de ablación 1.353 filas duplicadas en compras, lo que invalida cualquier lectura absoluta de los importes de esos seis períodos.</w:t>
      </w:r>
    </w:p>
    <w:p w:rsidR="0083408C" w:rsidRDefault="00000000">
      <w:r>
        <w:t>La segunda es del BANCO DE PRUEBAS. Son 76 preguntas escritas y anotadas por el propio equipo, sin un segundo anotador que mida el acuerdo, y solo 50 entran en el ciclo de validación; en una tarea donde definir el gold es decidir una cobertura léxica, un único anotador es a la vez juez y parte. Las 26 del set de seguimiento están hoy fuera de uso porque sus golds cruzan elementos del plan contable y no son medibles. Además, los conjuntos de 48, 56 y 50 preguntas corresponden a versiones distintas del esquema y de los golds, de modo que sus cifras NO son comparables entre sí y van en tablas separadas en lugar de en una serie.</w:t>
      </w:r>
    </w:p>
    <w:p w:rsidR="0083408C" w:rsidRDefault="00000000">
      <w:r>
        <w:t>La tercera es de MEDICIÓN Y ALCANCE. El suelo de ruido de unas tres preguntas sobre 50 deja sin resolver cualquier diferencia menor de seis puntos, que es justamente el tamaño de casi todos los efectos comparados; con dos corridas por configuración se acota, pero no se elimina. La campaña de modelos mide acierto, latencia y tokens, no coste monetario, porque el proveedor no expone precios por el mismo canal. Nada se ha medido en producción con usuarios reales: no hay dato sobre si una respuesta correcta pero con columnas de más satisface a quien pregunta, ni sobre cuántas preguntas del negocio caen fuera de lo que el banco representa. Y el gate que decide cuándo inyectar contexto —el límite identificado del sistema— no está implementado ni, por tanto, medido.</w:t>
      </w:r>
    </w:p>
    <w:p w:rsidR="0083408C" w:rsidRDefault="00000000">
      <w:pPr>
        <w:pStyle w:val="Heading2"/>
        <w:spacing w:before="160" w:after="40"/>
        <w:jc w:val="left"/>
      </w:pPr>
      <w:r>
        <w:rPr>
          <w:rFonts w:ascii="Times New Roman" w:hAnsi="Times New Roman"/>
          <w:b w:val="0"/>
          <w:i/>
          <w:sz w:val="20"/>
        </w:rPr>
        <w:t>F.  Recomendaciones y trabajo futuro</w:t>
      </w:r>
    </w:p>
    <w:p w:rsidR="0083408C" w:rsidRDefault="00000000">
      <w:pPr>
        <w:pStyle w:val="ListNumber"/>
      </w:pPr>
      <w:r>
        <w:t>Cerrar la campaña completa sobre el esquema de doce tablas y el conjunto de 76 preguntas: es la única forma de contrastar la hipótesis de la sección VI-G.</w:t>
      </w:r>
    </w:p>
    <w:p w:rsidR="0083408C" w:rsidRDefault="00000000">
      <w:pPr>
        <w:pStyle w:val="ListNumber"/>
      </w:pPr>
      <w:r>
        <w:t xml:space="preserve">Rehacer la métrica de la categoría glosa. Mientras el gold sea una enumeración de raíces evaluada con igualdad estricta, ningún componente puede puntuar. Dos vías: anotar el conjunto de filas de referencia de cada concepto y reportar precisión y recall, o definir el gold con tolerancia explícita. Con cualquiera de las dos, la </w:t>
      </w:r>
      <w:r>
        <w:lastRenderedPageBreak/>
        <w:t>diferencia de calibración medida pasa de invisible a medible.</w:t>
      </w:r>
    </w:p>
    <w:p w:rsidR="0083408C" w:rsidRDefault="00000000">
      <w:pPr>
        <w:pStyle w:val="ListNumber"/>
      </w:pPr>
      <w:r>
        <w:t>Implementar el gate como clasificación de la pregunta —¿el concepto vive en texto libre, en una columna codificada o en el plan de cuentas?— y medirlo como una ablación más. Es la intervención con mejor relación esfuerzo-ganancia.</w:t>
      </w:r>
    </w:p>
    <w:p w:rsidR="0083408C" w:rsidRDefault="00000000">
      <w:pPr>
        <w:pStyle w:val="ListNumber"/>
      </w:pPr>
      <w:r>
        <w:t>Generar varios candidatos y elegir por ejecución, que es la vía barata para ganar puntos sin entrenar nada. Agentar-Scale-SQL [12] mide dos cosas directamente aplicables aquí: que dos generadores DISTINTOS combinados superan en tres puntos al mejor de los dos por separado, porque fallan en sitios distintos —y la sección VI-F ya deja cuatro modelos empatados y listos para ese papel—, y que elegir por torneo entre los candidatos agrupados por resultado de ejecución bate a la votación por mayoría en 1,82 puntos. El precio es multiplicar las llamadas por consulta, así que hay que medirlo contra el presupuesto de latencia de la sección VII-B.</w:t>
      </w:r>
    </w:p>
    <w:p w:rsidR="0083408C" w:rsidRDefault="00000000">
      <w:pPr>
        <w:pStyle w:val="ListNumber"/>
      </w:pPr>
      <w:r>
        <w:t>Completar el value linking con un índice de proveedores y clientes: las dimensiones ya existen, así que el corpus está construido y solo falta indexarlo con la infraestructura del diccionario del PCGE.</w:t>
      </w:r>
    </w:p>
    <w:p w:rsidR="0083408C" w:rsidRDefault="00000000">
      <w:pPr>
        <w:pStyle w:val="ListNumber"/>
      </w:pPr>
      <w:r>
        <w:t>Auditar la categoría cuenta_contable con el método con el que se auditó glosa y ampliar el set con más de un anotador: el acuerdo entre anotadores sobre qué raíces componen un concepto es, en sí mismo, la medida de cuánta tolerancia necesita el gold.</w:t>
      </w:r>
    </w:p>
    <w:p w:rsidR="0083408C" w:rsidRDefault="00000000">
      <w:pPr>
        <w:pStyle w:val="Heading1"/>
        <w:spacing w:before="200" w:after="80"/>
        <w:jc w:val="center"/>
      </w:pPr>
      <w:r>
        <w:rPr>
          <w:rFonts w:ascii="Times New Roman" w:hAnsi="Times New Roman"/>
          <w:smallCaps/>
          <w:sz w:val="20"/>
        </w:rPr>
        <w:t>VIII.  Referencias</w:t>
      </w:r>
    </w:p>
    <w:p w:rsidR="0083408C" w:rsidRDefault="00000000">
      <w:pPr>
        <w:spacing w:after="40"/>
        <w:ind w:left="340" w:hanging="340"/>
      </w:pPr>
      <w:r>
        <w:rPr>
          <w:sz w:val="17"/>
        </w:rPr>
        <w:t>[1]</w:t>
      </w:r>
      <w:r>
        <w:rPr>
          <w:sz w:val="17"/>
        </w:rPr>
        <w:tab/>
        <w:t>T. Yu et al., “Spider: A Large-Scale Human-Labeled Dataset for Complex and Cross-Domain Semantic Parsing and Text-to-SQL Task”, EMNLP, 2018. — Origen de la evaluación por execution accuracy.</w:t>
      </w:r>
    </w:p>
    <w:p w:rsidR="0083408C" w:rsidRDefault="00000000">
      <w:pPr>
        <w:spacing w:after="40"/>
        <w:ind w:left="340" w:hanging="340"/>
      </w:pPr>
      <w:r>
        <w:rPr>
          <w:sz w:val="17"/>
        </w:rPr>
        <w:t>[2]</w:t>
      </w:r>
      <w:r>
        <w:rPr>
          <w:sz w:val="17"/>
        </w:rPr>
        <w:tab/>
        <w:t>J. Li et al., “Can LLM Already Serve as a Database Interface? A Big Bench for Large-Scale Database Grounded Text-to-SQLs (BIRD)”, NeurIPS, 2023. — Formula el value linking como categoría de error propia: el modo de fallo que atacan los dos recuperadores.</w:t>
      </w:r>
    </w:p>
    <w:p w:rsidR="0083408C" w:rsidRDefault="00000000">
      <w:pPr>
        <w:spacing w:after="40"/>
        <w:ind w:left="340" w:hanging="340"/>
      </w:pPr>
      <w:r>
        <w:rPr>
          <w:sz w:val="17"/>
        </w:rPr>
        <w:t>[3]</w:t>
      </w:r>
      <w:r>
        <w:rPr>
          <w:sz w:val="17"/>
        </w:rPr>
        <w:tab/>
        <w:t>F. Lei et al., “Spider 2.0: Evaluating Language Models on Real-World Enterprise Text-to-SQL Workflows”, ICLR, 2025. — Banco de esquemas empresariales de 700 a 800 columnas donde los métodos actuales no pasan del 30 %; fija la escala a la que el problema de esquema se vuelve el dominante.</w:t>
      </w:r>
    </w:p>
    <w:p w:rsidR="0083408C" w:rsidRDefault="00000000">
      <w:pPr>
        <w:spacing w:after="40"/>
        <w:ind w:left="340" w:hanging="340"/>
      </w:pPr>
      <w:r>
        <w:rPr>
          <w:sz w:val="17"/>
        </w:rPr>
        <w:t>[4]</w:t>
      </w:r>
      <w:r>
        <w:rPr>
          <w:sz w:val="17"/>
        </w:rPr>
        <w:tab/>
        <w:t>Z. Hong, Z. Yuan, Q. Zhang, H. Chen, J. Dong, F. Huang y X. Huang, “Next-Generation Database Interfaces: A Survey of LLM-based Text-to-SQL”, 2024 (arXiv:2406.08426). — Panorámica del campo y de sus familias de método.</w:t>
      </w:r>
    </w:p>
    <w:p w:rsidR="0083408C" w:rsidRDefault="00000000">
      <w:pPr>
        <w:spacing w:after="40"/>
        <w:ind w:left="340" w:hanging="340"/>
      </w:pPr>
      <w:r>
        <w:rPr>
          <w:sz w:val="17"/>
        </w:rPr>
        <w:t>[5]</w:t>
      </w:r>
      <w:r>
        <w:rPr>
          <w:sz w:val="17"/>
        </w:rPr>
        <w:tab/>
        <w:t>M. Pourreza y D. Rafiei, “DIN-SQL: Decomposed In-Context Learning of Text-to-SQL with Self-Correction”, NeurIPS, 2023.</w:t>
      </w:r>
    </w:p>
    <w:p w:rsidR="0083408C" w:rsidRDefault="00000000">
      <w:pPr>
        <w:spacing w:after="40"/>
        <w:ind w:left="340" w:hanging="340"/>
      </w:pPr>
      <w:r>
        <w:rPr>
          <w:sz w:val="17"/>
        </w:rPr>
        <w:t>[6]</w:t>
      </w:r>
      <w:r>
        <w:rPr>
          <w:sz w:val="17"/>
        </w:rPr>
        <w:tab/>
        <w:t>S. Talaei, M. Pourreza, Y.-C. Chang, A. Mirhoseini y A. Saberi, “CHESS: Contextual Harnessing for Efficient SQL Synthesis”, ICML, 2025 (arXiv:2405.16755).</w:t>
      </w:r>
    </w:p>
    <w:p w:rsidR="0083408C" w:rsidRDefault="00000000">
      <w:pPr>
        <w:spacing w:after="40"/>
        <w:ind w:left="340" w:hanging="340"/>
      </w:pPr>
      <w:r>
        <w:rPr>
          <w:sz w:val="17"/>
        </w:rPr>
        <w:t>[7]</w:t>
      </w:r>
      <w:r>
        <w:rPr>
          <w:sz w:val="17"/>
        </w:rPr>
        <w:tab/>
        <w:t>Z. Hong, Z. Yuan, H. Chen, Q. Zhang, F. Huang y X. Huang, “Knowledge-to-SQL: Enhancing SQL Generation with Data Expert LLM”, Findings of ACL, 2024.</w:t>
      </w:r>
    </w:p>
    <w:p w:rsidR="0083408C" w:rsidRDefault="00000000">
      <w:pPr>
        <w:spacing w:after="40"/>
        <w:ind w:left="340" w:hanging="340"/>
      </w:pPr>
      <w:r>
        <w:rPr>
          <w:sz w:val="17"/>
        </w:rPr>
        <w:t>[8]</w:t>
      </w:r>
      <w:r>
        <w:rPr>
          <w:sz w:val="17"/>
        </w:rPr>
        <w:tab/>
        <w:t>B. Wang et al., “MAC-SQL: A Multi-Agent Collaborative Framework for Text-to-SQL”, COLING, 2025.</w:t>
      </w:r>
    </w:p>
    <w:p w:rsidR="0083408C" w:rsidRDefault="00000000">
      <w:pPr>
        <w:spacing w:after="40"/>
        <w:ind w:left="340" w:hanging="340"/>
      </w:pPr>
      <w:r>
        <w:rPr>
          <w:sz w:val="17"/>
        </w:rPr>
        <w:t>[9]</w:t>
      </w:r>
      <w:r>
        <w:rPr>
          <w:sz w:val="17"/>
        </w:rPr>
        <w:tab/>
        <w:t>“BASE-SQL: A Powerful Open Source Text-To-SQL Baseline Approach”, 2025 (arXiv:2502.10739).</w:t>
      </w:r>
    </w:p>
    <w:p w:rsidR="0083408C" w:rsidRDefault="00000000">
      <w:pPr>
        <w:spacing w:after="40"/>
        <w:ind w:left="340" w:hanging="340"/>
      </w:pPr>
      <w:r>
        <w:rPr>
          <w:sz w:val="17"/>
        </w:rPr>
        <w:t>[10]</w:t>
      </w:r>
      <w:r>
        <w:rPr>
          <w:sz w:val="17"/>
        </w:rPr>
        <w:tab/>
        <w:t>A. Agrawal y S. Indukuri, “Schema-First Retrieval: Embedding Catalogs for Natural Language Analytics”, 2026 (arXiv:2606.28387).</w:t>
      </w:r>
    </w:p>
    <w:p w:rsidR="0083408C" w:rsidRDefault="00000000">
      <w:pPr>
        <w:spacing w:after="40"/>
        <w:ind w:left="340" w:hanging="340"/>
      </w:pPr>
      <w:r>
        <w:rPr>
          <w:sz w:val="17"/>
        </w:rPr>
        <w:t>[11]</w:t>
      </w:r>
      <w:r>
        <w:rPr>
          <w:sz w:val="17"/>
        </w:rPr>
        <w:tab/>
        <w:t>D. Gao et al., “Text-to-SQL Empowered by Large Language Models: A Benchmark Evaluation (DAIL-SQL)”, PVLDB 17(5), 2024.</w:t>
      </w:r>
    </w:p>
    <w:p w:rsidR="0083408C" w:rsidRDefault="00000000">
      <w:pPr>
        <w:spacing w:after="40"/>
        <w:ind w:left="340" w:hanging="340"/>
      </w:pPr>
      <w:r>
        <w:rPr>
          <w:sz w:val="17"/>
        </w:rPr>
        <w:t>[12]</w:t>
      </w:r>
      <w:r>
        <w:rPr>
          <w:sz w:val="17"/>
        </w:rPr>
        <w:tab/>
        <w:t>P. Wang et al., “Agentar-Scale-SQL: Advancing Text-to-SQL through Orchestrated Test-Time Scaling”, 2025 (arXiv:2509.24403).</w:t>
      </w:r>
    </w:p>
    <w:p w:rsidR="0083408C" w:rsidRDefault="00000000">
      <w:pPr>
        <w:spacing w:after="40"/>
        <w:ind w:left="340" w:hanging="340"/>
      </w:pPr>
      <w:r>
        <w:rPr>
          <w:sz w:val="17"/>
        </w:rPr>
        <w:t>[13]</w:t>
      </w:r>
      <w:r>
        <w:rPr>
          <w:sz w:val="17"/>
        </w:rPr>
        <w:tab/>
        <w:t>H. Li et al., “CodeS: Towards Building Open-source Language Models for Text-to-SQL”, Proc. ACM Manag. Data (SIGMOD), 2024. — Modelos abiertos de 1B a 15B especializados por preentrenamiento incremental sobre corpus de SQL.</w:t>
      </w:r>
    </w:p>
    <w:p w:rsidR="0083408C" w:rsidRDefault="00000000">
      <w:pPr>
        <w:spacing w:after="40"/>
        <w:ind w:left="340" w:hanging="340"/>
      </w:pPr>
      <w:r>
        <w:rPr>
          <w:sz w:val="17"/>
        </w:rPr>
        <w:t>[14]</w:t>
      </w:r>
      <w:r>
        <w:rPr>
          <w:sz w:val="17"/>
        </w:rPr>
        <w:tab/>
        <w:t>BIRD-SQL, “Leaderboard — single-model track”, bird-bench.github.io, consultado en agosto de 2026. — Ranking público de modelos base por execution accuracy sobre bases reales, sin pipeline alrededor: el criterio de preselección de los candidatos de la sección VI-F.</w:t>
      </w:r>
    </w:p>
    <w:p w:rsidR="0083408C" w:rsidRDefault="00000000">
      <w:pPr>
        <w:spacing w:after="40"/>
        <w:ind w:left="340" w:hanging="340"/>
      </w:pPr>
      <w:r>
        <w:rPr>
          <w:sz w:val="17"/>
        </w:rPr>
        <w:t>[15]</w:t>
      </w:r>
      <w:r>
        <w:rPr>
          <w:sz w:val="17"/>
        </w:rPr>
        <w:tab/>
        <w:t>P. Lewis et al., “Retrieval-Augmented Generation for Knowledge-Intensive NLP Tasks”, NeurIPS, 2020. — Formulación original del esquema recuperar-e-inyectar que emplean los dos recuperadores de este trabajo.</w:t>
      </w:r>
    </w:p>
    <w:p w:rsidR="0083408C" w:rsidRDefault="00000000">
      <w:pPr>
        <w:spacing w:after="40"/>
        <w:ind w:left="340" w:hanging="340"/>
      </w:pPr>
      <w:r>
        <w:rPr>
          <w:sz w:val="17"/>
        </w:rPr>
        <w:t>[16]</w:t>
      </w:r>
      <w:r>
        <w:rPr>
          <w:sz w:val="17"/>
        </w:rPr>
        <w:tab/>
        <w:t>L. Wang et al., “Multilingual E5 Text Embeddings”, 2024. — Modelo de embeddings empleado y origen de sus prefijos “query: ” y “passage: ”.</w:t>
      </w:r>
    </w:p>
    <w:p w:rsidR="0083408C" w:rsidRDefault="00000000">
      <w:pPr>
        <w:spacing w:after="40"/>
        <w:ind w:left="340" w:hanging="340"/>
      </w:pPr>
      <w:r>
        <w:rPr>
          <w:sz w:val="17"/>
        </w:rPr>
        <w:t>[17]</w:t>
      </w:r>
      <w:r>
        <w:rPr>
          <w:sz w:val="17"/>
        </w:rPr>
        <w:tab/>
        <w:t>Y. A. Malkov y D. A. Yashunin, “Efficient and Robust Approximate Nearest Neighbor Search Using Hierarchical Navigable Small World Graphs”, IEEE TPAMI, 2020. — Índice HNSW sobre el que corre la búsqueda vectorial.</w:t>
      </w:r>
    </w:p>
    <w:p w:rsidR="0083408C" w:rsidRDefault="00000000">
      <w:pPr>
        <w:spacing w:after="40"/>
        <w:ind w:left="340" w:hanging="340"/>
      </w:pPr>
      <w:r>
        <w:rPr>
          <w:sz w:val="17"/>
        </w:rPr>
        <w:t>[18]</w:t>
      </w:r>
      <w:r>
        <w:rPr>
          <w:sz w:val="17"/>
        </w:rPr>
        <w:tab/>
        <w:t>Consejo Normativo de Contabilidad (Perú), “Plan Contable General Empresarial”. — Fuente de los nombres de las cuentas del diccionario.</w:t>
      </w:r>
    </w:p>
    <w:p w:rsidR="0083408C" w:rsidRDefault="00000000">
      <w:pPr>
        <w:spacing w:after="40"/>
        <w:ind w:left="340" w:hanging="340"/>
      </w:pPr>
      <w:r>
        <w:rPr>
          <w:sz w:val="17"/>
        </w:rPr>
        <w:t>[19]</w:t>
      </w:r>
      <w:r>
        <w:rPr>
          <w:sz w:val="17"/>
        </w:rPr>
        <w:tab/>
        <w:t>SUNAT, “SIRE” y “PLE”: formato 6.1 del Libro Mayor, 5.1 del Libro Diario y 5.3 del Plan Contable General. — Especificación de los archivos de origen.</w:t>
      </w:r>
    </w:p>
    <w:p w:rsidR="0083408C" w:rsidRDefault="00000000">
      <w:pPr>
        <w:spacing w:after="40"/>
        <w:ind w:left="340" w:hanging="340"/>
      </w:pPr>
      <w:r>
        <w:rPr>
          <w:sz w:val="17"/>
        </w:rPr>
        <w:t>[20]</w:t>
      </w:r>
      <w:r>
        <w:rPr>
          <w:sz w:val="17"/>
        </w:rPr>
        <w:tab/>
        <w:t>Fichas técnicas de los proveedores: Moonshot AI (Kimi K2.6 y K2.7-Code), Zhipu AI (GLM-5.3), MiniMax (M3) y Alibaba Cloud (Qwen3.8-Max). — Origen de los recuentos de parámetros de la Tabla 13; Alibaba no publica el de Qwen3.7-Plus, que es cerrado.</w:t>
      </w:r>
    </w:p>
    <w:p w:rsidR="0083408C" w:rsidRDefault="00000000">
      <w:pPr>
        <w:spacing w:after="40"/>
        <w:ind w:left="340" w:hanging="340"/>
      </w:pPr>
      <w:r>
        <w:rPr>
          <w:sz w:val="17"/>
        </w:rPr>
        <w:t>[21]</w:t>
      </w:r>
      <w:r>
        <w:rPr>
          <w:sz w:val="17"/>
        </w:rPr>
        <w:tab/>
        <w:t>Documentación interna: docs/RAG-PLAN.md y docs/RESULTADOS.md (bitácora), output/eval/*.json (artefactos de cada corrida) y output/analitica.duckdb.</w:t>
      </w:r>
    </w:p>
    <w:sectPr w:rsidR="0083408C" w:rsidSect="00034616">
      <w:type w:val="continuous"/>
      <w:pgSz w:w="12240" w:h="15840"/>
      <w:pgMar w:top="1009" w:right="935" w:bottom="1009" w:left="935" w:header="720" w:footer="720" w:gutter="0"/>
      <w:cols w:num="2" w:space="28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4311D" w:rsidRDefault="0014311D">
      <w:pPr>
        <w:spacing w:after="0"/>
      </w:pPr>
      <w:r>
        <w:separator/>
      </w:r>
    </w:p>
  </w:endnote>
  <w:endnote w:type="continuationSeparator" w:id="0">
    <w:p w:rsidR="0014311D" w:rsidRDefault="0014311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309020205020404"/>
    <w:charset w:val="00"/>
    <w:family w:val="auto"/>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408C" w:rsidRDefault="00000000">
    <w:pPr>
      <w:pStyle w:val="Footer"/>
      <w:jc w:val="center"/>
    </w:pPr>
    <w:r>
      <w:rPr>
        <w:color w:val="606060"/>
        <w:sz w:val="16"/>
      </w:rPr>
      <w:t xml:space="preserve">Página </w:t>
    </w:r>
    <w:r>
      <w:rPr>
        <w:color w:val="606060"/>
        <w:sz w:val="16"/>
      </w:rPr>
      <w:fldChar w:fldCharType="begin"/>
    </w:r>
    <w:r>
      <w:rPr>
        <w:color w:val="606060"/>
        <w:sz w:val="16"/>
      </w:rPr>
      <w:instrText xml:space="preserve"> PAGE </w:instrText>
    </w:r>
    <w:r>
      <w:rPr>
        <w:color w:val="606060"/>
        <w:sz w:val="16"/>
      </w:rPr>
      <w:fldChar w:fldCharType="separate"/>
    </w:r>
    <w:r w:rsidR="00547C98">
      <w:rPr>
        <w:noProof/>
        <w:color w:val="606060"/>
        <w:sz w:val="16"/>
      </w:rPr>
      <w:t>1</w:t>
    </w:r>
    <w:r>
      <w:rPr>
        <w:color w:val="606060"/>
        <w:sz w:val="16"/>
      </w:rPr>
      <w:fldChar w:fldCharType="end"/>
    </w:r>
    <w:r>
      <w:rPr>
        <w:color w:val="606060"/>
        <w:sz w:val="16"/>
      </w:rPr>
      <w:t xml:space="preserve"> de </w:t>
    </w:r>
    <w:r>
      <w:rPr>
        <w:color w:val="606060"/>
        <w:sz w:val="16"/>
      </w:rPr>
      <w:fldChar w:fldCharType="begin"/>
    </w:r>
    <w:r>
      <w:rPr>
        <w:color w:val="606060"/>
        <w:sz w:val="16"/>
      </w:rPr>
      <w:instrText xml:space="preserve"> NUMPAGES </w:instrText>
    </w:r>
    <w:r>
      <w:rPr>
        <w:color w:val="606060"/>
        <w:sz w:val="16"/>
      </w:rPr>
      <w:fldChar w:fldCharType="separate"/>
    </w:r>
    <w:r w:rsidR="00547C98">
      <w:rPr>
        <w:noProof/>
        <w:color w:val="606060"/>
        <w:sz w:val="16"/>
      </w:rPr>
      <w:t>2</w:t>
    </w:r>
    <w:r>
      <w:rPr>
        <w:color w:val="60606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4311D" w:rsidRDefault="0014311D">
      <w:pPr>
        <w:spacing w:after="0"/>
      </w:pPr>
      <w:r>
        <w:separator/>
      </w:r>
    </w:p>
  </w:footnote>
  <w:footnote w:type="continuationSeparator" w:id="0">
    <w:p w:rsidR="0014311D" w:rsidRDefault="0014311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72226881">
    <w:abstractNumId w:val="8"/>
  </w:num>
  <w:num w:numId="2" w16cid:durableId="488255488">
    <w:abstractNumId w:val="6"/>
  </w:num>
  <w:num w:numId="3" w16cid:durableId="1000085011">
    <w:abstractNumId w:val="5"/>
  </w:num>
  <w:num w:numId="4" w16cid:durableId="132909624">
    <w:abstractNumId w:val="4"/>
  </w:num>
  <w:num w:numId="5" w16cid:durableId="2143451546">
    <w:abstractNumId w:val="7"/>
  </w:num>
  <w:num w:numId="6" w16cid:durableId="1088578037">
    <w:abstractNumId w:val="3"/>
  </w:num>
  <w:num w:numId="7" w16cid:durableId="934943076">
    <w:abstractNumId w:val="2"/>
  </w:num>
  <w:num w:numId="8" w16cid:durableId="527839365">
    <w:abstractNumId w:val="1"/>
  </w:num>
  <w:num w:numId="9" w16cid:durableId="455685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10BFD"/>
    <w:rsid w:val="0014311D"/>
    <w:rsid w:val="0015074B"/>
    <w:rsid w:val="0029639D"/>
    <w:rsid w:val="00326F90"/>
    <w:rsid w:val="00547C98"/>
    <w:rsid w:val="00616037"/>
    <w:rsid w:val="00787D9B"/>
    <w:rsid w:val="0083408C"/>
    <w:rsid w:val="00AA1D8D"/>
    <w:rsid w:val="00B47730"/>
    <w:rsid w:val="00C678CF"/>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60EACA"/>
  <w14:defaultImageDpi w14:val="300"/>
  <w15:docId w15:val="{090DB4EA-7232-D44E-ADF9-E2BDB5EE0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60" w:line="240" w:lineRule="auto"/>
      <w:jc w:val="both"/>
    </w:pPr>
    <w:rPr>
      <w:rFonts w:ascii="Times New Roman" w:hAnsi="Times New Roman"/>
      <w:sz w:val="2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3864"/>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F3864"/>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F386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20"/>
      <w:contextualSpacing/>
      <w:jc w:val="left"/>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20"/>
      <w:contextualSpacing/>
      <w:jc w:val="left"/>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16</Pages>
  <Words>13786</Words>
  <Characters>67831</Characters>
  <Application>Microsoft Office Word</Application>
  <DocSecurity>0</DocSecurity>
  <Lines>1938</Lines>
  <Paragraphs>722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80895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TorresCristobal, Wilber - Contractor {PEP}</cp:lastModifiedBy>
  <cp:revision>4</cp:revision>
  <dcterms:created xsi:type="dcterms:W3CDTF">2013-12-23T23:15:00Z</dcterms:created>
  <dcterms:modified xsi:type="dcterms:W3CDTF">2026-08-16T04:09:00Z</dcterms:modified>
  <cp:category/>
</cp:coreProperties>
</file>